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f23e" w14:textId="9a3f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проведении согласованной политики в области обеспечения единства измерений</w:t>
      </w:r>
    </w:p>
    <w:p>
      <w:pPr>
        <w:spacing w:after="0"/>
        <w:ind w:left="0"/>
        <w:jc w:val="both"/>
      </w:pPr>
      <w:r>
        <w:rPr>
          <w:rFonts w:ascii="Times New Roman"/>
          <w:b w:val="false"/>
          <w:i w:val="false"/>
          <w:color w:val="000000"/>
          <w:sz w:val="28"/>
        </w:rPr>
        <w:t>Решение Коллегии Евразийской экономической комиссии от 17 декабря 2013 года № 303</w:t>
      </w:r>
    </w:p>
    <w:p>
      <w:pPr>
        <w:spacing w:after="0"/>
        <w:ind w:left="0"/>
        <w:jc w:val="both"/>
      </w:pPr>
      <w:bookmarkStart w:name="z1" w:id="0"/>
      <w:r>
        <w:rPr>
          <w:rFonts w:ascii="Times New Roman"/>
          <w:b w:val="false"/>
          <w:i w:val="false"/>
          <w:color w:val="000000"/>
          <w:sz w:val="28"/>
        </w:rPr>
        <w:t>
      Приняв к сведению информацию члена Коллегии (Министра) по вопросам технического регулирования Евразийской экономической комиссии Корешкова В.Н. о разработке проекта Соглашения о проведении согласованной политики в области обеспечения единства измерений во исполнение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проведении согласованной политики в области обеспечения единства измерений.</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провести до 28 февраля 2014 г. внутригосударственное согласование проекта Соглашения, указанного в пункте 1 настоящего Решения, и проинформировать Евразийскую экономическую комиссию о его результатах.</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6398"/>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Коллегии Евразийской</w:t>
            </w:r>
            <w:r>
              <w:br/>
            </w:r>
            <w:r>
              <w:rPr>
                <w:rFonts w:ascii="Times New Roman"/>
                <w:b w:val="false"/>
                <w:i w:val="false"/>
                <w:color w:val="000000"/>
                <w:sz w:val="20"/>
              </w:rPr>
              <w:t>
</w:t>
            </w:r>
            <w:r>
              <w:rPr>
                <w:rFonts w:ascii="Times New Roman"/>
                <w:b w:val="false"/>
                <w:i/>
                <w:color w:val="000000"/>
                <w:sz w:val="20"/>
              </w:rPr>
              <w:t>экономической комиссии</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Христенко</w:t>
            </w:r>
          </w:p>
        </w:tc>
      </w:tr>
    </w:tbl>
    <w:bookmarkStart w:name="z5"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w:t>
      </w:r>
      <w:r>
        <w:br/>
      </w:r>
      <w:r>
        <w:rPr>
          <w:rFonts w:ascii="Times New Roman"/>
          <w:b/>
          <w:i w:val="false"/>
          <w:color w:val="000000"/>
        </w:rPr>
        <w:t>
о проведении согласованной политики</w:t>
      </w:r>
      <w:r>
        <w:br/>
      </w:r>
      <w:r>
        <w:rPr>
          <w:rFonts w:ascii="Times New Roman"/>
          <w:b/>
          <w:i w:val="false"/>
          <w:color w:val="000000"/>
        </w:rPr>
        <w:t>
в области обеспечения единства измерений</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в целях реализации </w:t>
      </w:r>
      <w:r>
        <w:rPr>
          <w:rFonts w:ascii="Times New Roman"/>
          <w:b w:val="false"/>
          <w:i w:val="false"/>
          <w:color w:val="000000"/>
          <w:sz w:val="28"/>
        </w:rPr>
        <w:t>пункта 5</w:t>
      </w:r>
      <w:r>
        <w:rPr>
          <w:rFonts w:ascii="Times New Roman"/>
          <w:b w:val="false"/>
          <w:i w:val="false"/>
          <w:color w:val="000000"/>
          <w:sz w:val="28"/>
        </w:rPr>
        <w:t xml:space="preserve"> статьи 2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w:t>
      </w:r>
      <w:r>
        <w:br/>
      </w:r>
      <w:r>
        <w:rPr>
          <w:rFonts w:ascii="Times New Roman"/>
          <w:b w:val="false"/>
          <w:i w:val="false"/>
          <w:color w:val="000000"/>
          <w:sz w:val="28"/>
        </w:rPr>
        <w:t xml:space="preserve">
      считая проведение согласованной политики в области обеспечения единства измерений необходимым для защиты прав, законных интересов граждан и государств от отрицательных последствий недостоверных результатов измерений на таможенной территории Таможенного союза, а также для обеспечения свободного движения товаров, </w:t>
      </w:r>
      <w:r>
        <w:br/>
      </w:r>
      <w:r>
        <w:rPr>
          <w:rFonts w:ascii="Times New Roman"/>
          <w:b w:val="false"/>
          <w:i w:val="false"/>
          <w:color w:val="000000"/>
          <w:sz w:val="28"/>
        </w:rPr>
        <w:t>
      принимая во внимание важную роль измерений в расширении доверия между торговыми партнерами,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Предметом настоящего Соглашения является проведение государствами Сторон согласованной политики в области обеспечения единства измерений в целях обеспечения сопоставимости результатов оценки (подтверждения) соответствия продукции требованиям технических регламентов Таможенного союза.</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r>
        <w:br/>
      </w:r>
      <w:r>
        <w:rPr>
          <w:rFonts w:ascii="Times New Roman"/>
          <w:b w:val="false"/>
          <w:i w:val="false"/>
          <w:color w:val="000000"/>
          <w:sz w:val="28"/>
        </w:rPr>
        <w:t>
      «аттестация методик (методов) измерений» – исследование</w:t>
      </w:r>
      <w:r>
        <w:br/>
      </w:r>
      <w:r>
        <w:rPr>
          <w:rFonts w:ascii="Times New Roman"/>
          <w:b w:val="false"/>
          <w:i w:val="false"/>
          <w:color w:val="000000"/>
          <w:sz w:val="28"/>
        </w:rPr>
        <w:t>
и подтверждение соответствия методик (методов) измерений метрологическим требованиям к измерениям;</w:t>
      </w:r>
      <w:r>
        <w:br/>
      </w:r>
      <w:r>
        <w:rPr>
          <w:rFonts w:ascii="Times New Roman"/>
          <w:b w:val="false"/>
          <w:i w:val="false"/>
          <w:color w:val="000000"/>
          <w:sz w:val="28"/>
        </w:rPr>
        <w:t>
      «единица величины» – величина фиксированного размера, которой условно присвоено числовое значение, равное единице, и которая применяется для количественного выражения однородных с ней величин;</w:t>
      </w:r>
      <w:r>
        <w:br/>
      </w:r>
      <w:r>
        <w:rPr>
          <w:rFonts w:ascii="Times New Roman"/>
          <w:b w:val="false"/>
          <w:i w:val="false"/>
          <w:color w:val="000000"/>
          <w:sz w:val="28"/>
        </w:rPr>
        <w:t>
      «единство измерений» – состояние измерений, при котором результаты этих измерений выражены в допущенных к применению</w:t>
      </w:r>
      <w:r>
        <w:br/>
      </w:r>
      <w:r>
        <w:rPr>
          <w:rFonts w:ascii="Times New Roman"/>
          <w:b w:val="false"/>
          <w:i w:val="false"/>
          <w:color w:val="000000"/>
          <w:sz w:val="28"/>
        </w:rPr>
        <w:t xml:space="preserve">
в государствах Сторон единицах величин, а показатели точности измерений не выходят за установленные границы; </w:t>
      </w:r>
      <w:r>
        <w:br/>
      </w:r>
      <w:r>
        <w:rPr>
          <w:rFonts w:ascii="Times New Roman"/>
          <w:b w:val="false"/>
          <w:i w:val="false"/>
          <w:color w:val="000000"/>
          <w:sz w:val="28"/>
        </w:rPr>
        <w:t>
      «измерение» – процесс экспериментального получения одного или более количественных значений величины, которые могут быть обоснованно приписаны величине;</w:t>
      </w:r>
      <w:r>
        <w:br/>
      </w:r>
      <w:r>
        <w:rPr>
          <w:rFonts w:ascii="Times New Roman"/>
          <w:b w:val="false"/>
          <w:i w:val="false"/>
          <w:color w:val="000000"/>
          <w:sz w:val="28"/>
        </w:rPr>
        <w:t xml:space="preserve">
      «калибровка средства измерений» – совокупность операций, устанавливающих соотношение между значением величины, полученным с помощью средства измерений, и значением величины, воспроизведенной эталоном единицы величины того же рода, с целью определения действительных метрологических характеристик средства измерений; </w:t>
      </w:r>
      <w:r>
        <w:br/>
      </w:r>
      <w:r>
        <w:rPr>
          <w:rFonts w:ascii="Times New Roman"/>
          <w:b w:val="false"/>
          <w:i w:val="false"/>
          <w:color w:val="000000"/>
          <w:sz w:val="28"/>
        </w:rPr>
        <w:t>
      «Международная система единиц (СИ)» – система единиц, принятая Генеральной конференцией по мерам и весам, основанная на Международной системе величин и включающая в себя наименования и обозначения, наборы приставок и их наименования и обозначения, а также правила их применения;</w:t>
      </w:r>
      <w:r>
        <w:br/>
      </w:r>
      <w:r>
        <w:rPr>
          <w:rFonts w:ascii="Times New Roman"/>
          <w:b w:val="false"/>
          <w:i w:val="false"/>
          <w:color w:val="000000"/>
          <w:sz w:val="28"/>
        </w:rPr>
        <w:t>
      «методика (метод) измерений» – совокупность конкретно описанных операций при измерении, выполнение которых обеспечивает получение результатов измерений с установленными показателями точности;</w:t>
      </w:r>
      <w:r>
        <w:br/>
      </w:r>
      <w:r>
        <w:rPr>
          <w:rFonts w:ascii="Times New Roman"/>
          <w:b w:val="false"/>
          <w:i w:val="false"/>
          <w:color w:val="000000"/>
          <w:sz w:val="28"/>
        </w:rPr>
        <w:t>
      «метрологическая прослеживаемость» – свойство результата измерения, в соответствии с которым результат может быть соотнесен с основой для сравнения через документированную неразрывную цепь поверок и калибровок;</w:t>
      </w:r>
      <w:r>
        <w:br/>
      </w:r>
      <w:r>
        <w:rPr>
          <w:rFonts w:ascii="Times New Roman"/>
          <w:b w:val="false"/>
          <w:i w:val="false"/>
          <w:color w:val="000000"/>
          <w:sz w:val="28"/>
        </w:rPr>
        <w:t>
      «метрологическая экспертиза» – анализ и оценивание правильности и полноты применения метрологических требований, правил и норм, связанных с единством измерений;</w:t>
      </w:r>
      <w:r>
        <w:br/>
      </w:r>
      <w:r>
        <w:rPr>
          <w:rFonts w:ascii="Times New Roman"/>
          <w:b w:val="false"/>
          <w:i w:val="false"/>
          <w:color w:val="000000"/>
          <w:sz w:val="28"/>
        </w:rPr>
        <w:t>
      «национальный (первичный) эталон» – эталон единицы величины, признанный государством Стороны для использования в государственной или хозяйственной деятельности в качестве основы для приписывания значения величины другим эталонам единиц величин того же рода;</w:t>
      </w:r>
      <w:r>
        <w:br/>
      </w:r>
      <w:r>
        <w:rPr>
          <w:rFonts w:ascii="Times New Roman"/>
          <w:b w:val="false"/>
          <w:i w:val="false"/>
          <w:color w:val="000000"/>
          <w:sz w:val="28"/>
        </w:rPr>
        <w:t xml:space="preserve">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 </w:t>
      </w:r>
      <w:r>
        <w:br/>
      </w:r>
      <w:r>
        <w:rPr>
          <w:rFonts w:ascii="Times New Roman"/>
          <w:b w:val="false"/>
          <w:i w:val="false"/>
          <w:color w:val="000000"/>
          <w:sz w:val="28"/>
        </w:rPr>
        <w:t xml:space="preserve">
      «референтная методика (метод) измерений» – методика (метод) измерений, используемая для получения результатов измерений, которые могут быть применены для оценки правильности измеренных значений величины, полученных с помощью других методик (методов) измерений величин того же рода, а также для калибровки или для определения характеристик стандартных образцов; </w:t>
      </w:r>
      <w:r>
        <w:br/>
      </w:r>
      <w:r>
        <w:rPr>
          <w:rFonts w:ascii="Times New Roman"/>
          <w:b w:val="false"/>
          <w:i w:val="false"/>
          <w:color w:val="000000"/>
          <w:sz w:val="28"/>
        </w:rPr>
        <w:t>
      «сличение эталонов» – установление соотношения между результатами измерений при воспроизведении и передаче единицы измерения эталонами единиц величин одного уровня точности;</w:t>
      </w:r>
      <w:r>
        <w:br/>
      </w:r>
      <w:r>
        <w:rPr>
          <w:rFonts w:ascii="Times New Roman"/>
          <w:b w:val="false"/>
          <w:i w:val="false"/>
          <w:color w:val="000000"/>
          <w:sz w:val="28"/>
        </w:rPr>
        <w:t xml:space="preserve">
      «средство измерений» – техническое средство, предназначенное для измерений и имеющее нормированные метрологические характеристики; </w:t>
      </w:r>
      <w:r>
        <w:br/>
      </w:r>
      <w:r>
        <w:rPr>
          <w:rFonts w:ascii="Times New Roman"/>
          <w:b w:val="false"/>
          <w:i w:val="false"/>
          <w:color w:val="000000"/>
          <w:sz w:val="28"/>
        </w:rPr>
        <w:t>
      «стандартный образец» – материал (вещество), с установленными показателями точности измерений и метрологической прослеживаемостью, достаточно однородный и стабильный в отношении определенных свойств для того, чтобы использовать его при измерении или при оценивании качественных свойств в соответствии с предполагаемым назначением;</w:t>
      </w:r>
      <w:r>
        <w:br/>
      </w:r>
      <w:r>
        <w:rPr>
          <w:rFonts w:ascii="Times New Roman"/>
          <w:b w:val="false"/>
          <w:i w:val="false"/>
          <w:color w:val="000000"/>
          <w:sz w:val="28"/>
        </w:rPr>
        <w:t xml:space="preserve">
      «утверждение типа средства измерений» – решение органа государственной власти (управления) государства Стороны в области обеспечения единства измерений о разрешении применения средства измерения утвержденного типа на территории государства Стороны </w:t>
      </w:r>
      <w:r>
        <w:br/>
      </w:r>
      <w:r>
        <w:rPr>
          <w:rFonts w:ascii="Times New Roman"/>
          <w:b w:val="false"/>
          <w:i w:val="false"/>
          <w:color w:val="000000"/>
          <w:sz w:val="28"/>
        </w:rPr>
        <w:t xml:space="preserve">
на основании положительных результатов испытаний; </w:t>
      </w:r>
      <w:r>
        <w:br/>
      </w:r>
      <w:r>
        <w:rPr>
          <w:rFonts w:ascii="Times New Roman"/>
          <w:b w:val="false"/>
          <w:i w:val="false"/>
          <w:color w:val="000000"/>
          <w:sz w:val="28"/>
        </w:rPr>
        <w:t>
      «утверждение типа стандартного образца» – решение органа государственной власти (управления) государства Стороны в области обеспечения единства измерений о разрешении применения стандартного образца утвержденного типа на территории государства Стороны на основании положительных результатов испытаний;</w:t>
      </w:r>
      <w:r>
        <w:br/>
      </w:r>
      <w:r>
        <w:rPr>
          <w:rFonts w:ascii="Times New Roman"/>
          <w:b w:val="false"/>
          <w:i w:val="false"/>
          <w:color w:val="000000"/>
          <w:sz w:val="28"/>
        </w:rPr>
        <w:t>
      «шкала величины» – упорядоченная совокупность значений величины, служащая исходной основой для измерения соответствующей величины;</w:t>
      </w:r>
      <w:r>
        <w:br/>
      </w:r>
      <w:r>
        <w:rPr>
          <w:rFonts w:ascii="Times New Roman"/>
          <w:b w:val="false"/>
          <w:i w:val="false"/>
          <w:color w:val="000000"/>
          <w:sz w:val="28"/>
        </w:rPr>
        <w:t xml:space="preserve">
      «эталон единицы величины» – средство (комплекс средств) измерений, предназначенное для воспроизведения, хранения и передачи единицы величины или шкалы величины. </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Стороны проводят согласованную политику в области обеспечения единства измерений посредством гармонизации законодательства государств Сторон в области обеспечения единства измерений и проведения согласованных действий, обеспечивающих:</w:t>
      </w:r>
      <w:r>
        <w:br/>
      </w:r>
      <w:r>
        <w:rPr>
          <w:rFonts w:ascii="Times New Roman"/>
          <w:b w:val="false"/>
          <w:i w:val="false"/>
          <w:color w:val="000000"/>
          <w:sz w:val="28"/>
        </w:rPr>
        <w:t>
      1) создание механизмов взаимного признания результатов работ в области обеспечения единства измерений;</w:t>
      </w:r>
      <w:r>
        <w:br/>
      </w:r>
      <w:r>
        <w:rPr>
          <w:rFonts w:ascii="Times New Roman"/>
          <w:b w:val="false"/>
          <w:i w:val="false"/>
          <w:color w:val="000000"/>
          <w:sz w:val="28"/>
        </w:rPr>
        <w:t>
      2) использование эталонов единиц величин, средств измерений, стандартных образцов и аттестованных методик (методов) измерений, для которых государствами Сторон обеспечивается метрологическая прослеживаемость получаемых с их помощью результатов к Международной системе единиц (СИ), к национальным (первичным) эталонам и (или) к международным эталонам единиц величин;</w:t>
      </w:r>
      <w:r>
        <w:br/>
      </w:r>
      <w:r>
        <w:rPr>
          <w:rFonts w:ascii="Times New Roman"/>
          <w:b w:val="false"/>
          <w:i w:val="false"/>
          <w:color w:val="000000"/>
          <w:sz w:val="28"/>
        </w:rPr>
        <w:t>
      3) взаимное предоставление сведений в области обеспечения единства измерений, содержащихся в информационных фондах государств Сторон;</w:t>
      </w:r>
      <w:r>
        <w:br/>
      </w:r>
      <w:r>
        <w:rPr>
          <w:rFonts w:ascii="Times New Roman"/>
          <w:b w:val="false"/>
          <w:i w:val="false"/>
          <w:color w:val="000000"/>
          <w:sz w:val="28"/>
        </w:rPr>
        <w:t>
      4) применение согласованных порядков выполнения работ в области обеспечения единства измерений.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Стороны принимают меры, направленные на гармонизацию законодательства государств Сторон в области обеспечения единства измерений в отношении установления требований к измерениям, единицам величин, эталонам единиц величин и шкалам величин, средствам измерений, стандартным образцам, методикам(методам) измерений на основе документов, принятых международными и региональными организациями по метрологиии стандартизации.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Взаимное признание государствами Сторон результатов работ в области обеспечения единства измерений осуществляется в отношении работ и средств измерений, выполненных и изготовленных на территориях государств Сторон, органами государственной власти (управления) или юридическими лицами государств Сторон, уполномоченными (нотифицированными) в соответствии с законодательством своего государства на выполнение работ в области обеспечения единства измерений, в соответствии  с утвержденным порядком проведения этих работ.</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 целях обеспечения метрологической прослеживаемости результатов измерений, эталонов единиц величин, стандартных образцов государств Сторон к национальным (первичным) эталонам и Международной системе единиц (СИ) государства Сторон организуют проведение работ по созданию и совершенствованию эталонов единиц величин, определению и разработке номенклатуры стандартных образцов, установлению эквивалентности эталонов единиц величин государств Сторон путем их регулярного сличения.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Нормативные правовые акты государств Сторон, нормативные и международные документы, международные договоры государств Сторон в области обеспечения единства измерений, аттестованные методики (методы) измерений, перечни измерений или средств измерений в регулируемых государствами Сторон областях, сведения об эталонах единиц величин и шкалах измерений, утвержденных типах стандартных образцов и утвержденных типах средств измерений образуют информационные фонды государств Сторон в области обеспечения единства измерений.</w:t>
      </w:r>
      <w:r>
        <w:br/>
      </w:r>
      <w:r>
        <w:rPr>
          <w:rFonts w:ascii="Times New Roman"/>
          <w:b w:val="false"/>
          <w:i w:val="false"/>
          <w:color w:val="000000"/>
          <w:sz w:val="28"/>
        </w:rPr>
        <w:t>
      Ведение информационных фондов осуществляется в государствах Сторон в соответствии с их законодательством, взаимное предоставление содержащихся в информационных фондах сведений организуют органы государственной власти (управления) государств Сторон в области обеспечения единства измерений в порядке, установленном Евразийской экономической комиссией.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xml:space="preserve">      В целях реализации положений настоящего Соглашения Стороны наделяют соответствующими полномочиями органы государственной власти (управления) в области обеспечения единства измерений, которые проводят консультации, направленные на согласование позиций государств Сторон, и осуществляют координацию и проведение работ в области обеспечения единства измерений.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Евразийская экономическая комиссия в целях реализации положений настоящего Соглашения утверждает в установленном порядке следующие документы:</w:t>
      </w:r>
      <w:r>
        <w:br/>
      </w:r>
      <w:r>
        <w:rPr>
          <w:rFonts w:ascii="Times New Roman"/>
          <w:b w:val="false"/>
          <w:i w:val="false"/>
          <w:color w:val="000000"/>
          <w:sz w:val="28"/>
        </w:rPr>
        <w:t>
      1) перечень внесистемных единиц величин, применяемых</w:t>
      </w:r>
      <w:r>
        <w:br/>
      </w:r>
      <w:r>
        <w:rPr>
          <w:rFonts w:ascii="Times New Roman"/>
          <w:b w:val="false"/>
          <w:i w:val="false"/>
          <w:color w:val="000000"/>
          <w:sz w:val="28"/>
        </w:rPr>
        <w:t>
при разработке технических регламентов Таможенного союза, включая их соотношения с Международной системой единиц (СИ);</w:t>
      </w:r>
      <w:r>
        <w:br/>
      </w:r>
      <w:r>
        <w:rPr>
          <w:rFonts w:ascii="Times New Roman"/>
          <w:b w:val="false"/>
          <w:i w:val="false"/>
          <w:color w:val="000000"/>
          <w:sz w:val="28"/>
        </w:rPr>
        <w:t>
      2) порядки проведения работ в области обеспечения единства измерений, в том числе:</w:t>
      </w:r>
      <w:r>
        <w:br/>
      </w:r>
      <w:r>
        <w:rPr>
          <w:rFonts w:ascii="Times New Roman"/>
          <w:b w:val="false"/>
          <w:i w:val="false"/>
          <w:color w:val="000000"/>
          <w:sz w:val="28"/>
        </w:rPr>
        <w:t xml:space="preserve">
      порядок проведения метрологической экспертизы проекта технического регламента Таможенного союза, перечня стандартов, </w:t>
      </w:r>
      <w:r>
        <w:br/>
      </w:r>
      <w:r>
        <w:rPr>
          <w:rFonts w:ascii="Times New Roman"/>
          <w:b w:val="false"/>
          <w:i w:val="false"/>
          <w:color w:val="000000"/>
          <w:sz w:val="28"/>
        </w:rPr>
        <w:t>
на основе которых разработан проект технического регламента Таможенного союза, и предложения по перечням стандартов, определенных пунктами 2 и 3 статьи 6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w:t>
      </w:r>
      <w:r>
        <w:br/>
      </w:r>
      <w:r>
        <w:rPr>
          <w:rFonts w:ascii="Times New Roman"/>
          <w:b w:val="false"/>
          <w:i w:val="false"/>
          <w:color w:val="000000"/>
          <w:sz w:val="28"/>
        </w:rPr>
        <w:t>
      порядок проведения межлабораторных сравнительных испытаний (межлабораторных сличений);</w:t>
      </w:r>
      <w:r>
        <w:br/>
      </w:r>
      <w:r>
        <w:rPr>
          <w:rFonts w:ascii="Times New Roman"/>
          <w:b w:val="false"/>
          <w:i w:val="false"/>
          <w:color w:val="000000"/>
          <w:sz w:val="28"/>
        </w:rPr>
        <w:t>
      порядок метрологической аттестации методики (метода) измерений;</w:t>
      </w:r>
      <w:r>
        <w:br/>
      </w:r>
      <w:r>
        <w:rPr>
          <w:rFonts w:ascii="Times New Roman"/>
          <w:b w:val="false"/>
          <w:i w:val="false"/>
          <w:color w:val="000000"/>
          <w:sz w:val="28"/>
        </w:rPr>
        <w:t>
      порядок аттестации методики (метода) измерений, принимаемой в качестве референтной методики (метода) измерений;</w:t>
      </w:r>
      <w:r>
        <w:br/>
      </w:r>
      <w:r>
        <w:rPr>
          <w:rFonts w:ascii="Times New Roman"/>
          <w:b w:val="false"/>
          <w:i w:val="false"/>
          <w:color w:val="000000"/>
          <w:sz w:val="28"/>
        </w:rPr>
        <w:t xml:space="preserve">
      порядок утверждения типа средства измерений; </w:t>
      </w:r>
      <w:r>
        <w:br/>
      </w:r>
      <w:r>
        <w:rPr>
          <w:rFonts w:ascii="Times New Roman"/>
          <w:b w:val="false"/>
          <w:i w:val="false"/>
          <w:color w:val="000000"/>
          <w:sz w:val="28"/>
        </w:rPr>
        <w:t>
      порядок утверждения типа стандартного образца;</w:t>
      </w:r>
      <w:r>
        <w:br/>
      </w:r>
      <w:r>
        <w:rPr>
          <w:rFonts w:ascii="Times New Roman"/>
          <w:b w:val="false"/>
          <w:i w:val="false"/>
          <w:color w:val="000000"/>
          <w:sz w:val="28"/>
        </w:rPr>
        <w:t>
      порядок поверки средства измерений;</w:t>
      </w:r>
      <w:r>
        <w:br/>
      </w:r>
      <w:r>
        <w:rPr>
          <w:rFonts w:ascii="Times New Roman"/>
          <w:b w:val="false"/>
          <w:i w:val="false"/>
          <w:color w:val="000000"/>
          <w:sz w:val="28"/>
        </w:rPr>
        <w:t>
      порядок калибровки средства измерений;</w:t>
      </w:r>
      <w:r>
        <w:br/>
      </w:r>
      <w:r>
        <w:rPr>
          <w:rFonts w:ascii="Times New Roman"/>
          <w:b w:val="false"/>
          <w:i w:val="false"/>
          <w:color w:val="000000"/>
          <w:sz w:val="28"/>
        </w:rPr>
        <w:t>
      3) порядок взаимного предоставления сведений в области обеспечения единства измерений, содержащихся в информационных фондах государств Сторон.</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переговоров и консультаций.</w:t>
      </w:r>
      <w:r>
        <w:br/>
      </w:r>
      <w:r>
        <w:rPr>
          <w:rFonts w:ascii="Times New Roman"/>
          <w:b w:val="false"/>
          <w:i w:val="false"/>
          <w:color w:val="000000"/>
          <w:sz w:val="28"/>
        </w:rPr>
        <w:t>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договоренности между Сторонами относительно способа урегулирования спора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Совершено в городе ___________ «___» ____________ 20___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Беларусь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 Казахстан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 Федерации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