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2967" w14:textId="5952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г.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декабря 2013 года № 300.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единую Товарную номенклатуру внешнеэкономической деятельности Таможенного союза и Единый таможенный тариф Таможенного союза (приложение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следующие изменения: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134 "О нормативных правовых актах в области нетарифного регулирования", следующие изменения: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/>
          <w:color w:val="000000"/>
          <w:sz w:val="28"/>
        </w:rPr>
        <w:t>утратил силу решением Коллегии Евразийской экономической комиссии от 21.04.2015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(вступает в силу по истечении 30 календарных дней с даты его официального опубликования);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/>
          <w:color w:val="000000"/>
          <w:sz w:val="28"/>
        </w:rPr>
        <w:t>утратил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решением Коллегии Евразийской экономической комиссии от 02.06.2016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02.06.2016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2013 г. № 300</w:t>
            </w:r>
          </w:p>
        </w:tc>
      </w:tr>
    </w:tbl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1211 90 850 0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2013 г. № 300</w:t>
            </w:r>
          </w:p>
        </w:tc>
      </w:tr>
    </w:tbl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1211 90 850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1211 90 850 1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корень солодки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1211 90 850 9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2013 г. № 300</w:t>
            </w:r>
          </w:p>
        </w:tc>
      </w:tr>
    </w:tbl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1211 90 850 1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корень солодки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1211 90 850 9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