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e077d" w14:textId="c4e07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решения Совета Евразийской экономической комиссии "Об установлении ставок ввозных таможенных пошлин Единого таможенного тарифа Таможенного союза в отношении отдельных видов моторных транспортных средств, бывших в эксплуатации"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10 декабря 2013 года № 296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Евразийской экономической комиссии от 18 ноября 2011 года и Регламентом работы Евразийской экономической комиссии,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18 ноября 2011 г. № 1,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едином таможенно-тарифном регулировании от 25 января 2008 года и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функционировании Таможенного союза в рамках многосторонней торговой системы от 19 мая 2011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проект решения Совета Евразийской экономической комиссии «Об установлении ставок ввозных таможенных пошлин Единого таможенного тарифа Таможенного союза в отношении отдельных видов моторных транспортных средств, бывших в эксплуатации» (прилагается) и внести его для рассмотрения на очередном заседании Совета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 Евразийская экономическая комиссия</w:t>
      </w:r>
      <w:r>
        <w:br/>
      </w:r>
      <w:r>
        <w:rPr>
          <w:rFonts w:ascii="Times New Roman"/>
          <w:b/>
          <w:i w:val="false"/>
          <w:color w:val="000000"/>
        </w:rPr>
        <w:t>
Совет Решение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   "           2013 г.            №                  г. Москва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установлении ставок ввозных таможенных пошлин Единого</w:t>
      </w:r>
      <w:r>
        <w:br/>
      </w:r>
      <w:r>
        <w:rPr>
          <w:rFonts w:ascii="Times New Roman"/>
          <w:b/>
          <w:i w:val="false"/>
          <w:color w:val="000000"/>
        </w:rPr>
        <w:t>
таможенного тарифа Таможенного союза в отношении отдельных</w:t>
      </w:r>
      <w:r>
        <w:br/>
      </w:r>
      <w:r>
        <w:rPr>
          <w:rFonts w:ascii="Times New Roman"/>
          <w:b/>
          <w:i w:val="false"/>
          <w:color w:val="000000"/>
        </w:rPr>
        <w:t>
видов моторных транспортных средств, бывших в эксплуатации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Договором о Евразийской экономической комиссии от 18 ноября 2011 года и Регламентом работы Евразийской экономической комиссии,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18 ноября 2011 г. № 1, на основании статьи 8 Соглашения о едином таможенно-тарифном регулировании от 25 января 2008 года и Договора о функционировании Таможенного союза в рамках многосторонней торговой системы от 19 мая 2011 года Совет Евразийской экономической комиссии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ставки ввозных таможенных пошлин Единого таможенного тарифа Таможенного союза (приложение к Решению Совета Евразийской экономической комиссии от 16 июля 2012 г. № 54) в отношении отдельных видов моторных транспортных средств, бывших в эксплуатации,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10 календарных дней с даты его официального опубликования.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"/>
        <w:gridCol w:w="187"/>
        <w:gridCol w:w="187"/>
      </w:tblGrid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Члены Совета Евразийской экономической комиссии:
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Беларусь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Румас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Б. Сагинтаев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Федерации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Шувалов
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Совета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декабря 2013 г. № 296    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СТАВКИ</w:t>
      </w:r>
      <w:r>
        <w:br/>
      </w:r>
      <w:r>
        <w:rPr>
          <w:rFonts w:ascii="Times New Roman"/>
          <w:b/>
          <w:i w:val="false"/>
          <w:color w:val="000000"/>
        </w:rPr>
        <w:t>
ввозных таможенных пошлин</w:t>
      </w:r>
      <w:r>
        <w:br/>
      </w:r>
      <w:r>
        <w:rPr>
          <w:rFonts w:ascii="Times New Roman"/>
          <w:b/>
          <w:i w:val="false"/>
          <w:color w:val="000000"/>
        </w:rPr>
        <w:t>
Единого таможенного тарифа Таможенного союза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29"/>
        <w:gridCol w:w="7786"/>
        <w:gridCol w:w="3485"/>
      </w:tblGrid>
      <w:tr>
        <w:trPr>
          <w:trHeight w:val="30" w:hRule="atLeast"/>
        </w:trPr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 ВЭД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ввозной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таможенной пошлины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процентах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таможенной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в евро, либо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долларах США)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67"/>
        <w:gridCol w:w="2367"/>
        <w:gridCol w:w="5360"/>
        <w:gridCol w:w="3506"/>
      </w:tblGrid>
      <w:tr>
        <w:trPr>
          <w:trHeight w:val="450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8701 20 901 5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момента выпуска которых прошло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5 лет, но не более 7 лет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13,8, но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 евро за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 двигателя</w:t>
            </w:r>
          </w:p>
        </w:tc>
      </w:tr>
      <w:tr>
        <w:trPr>
          <w:trHeight w:val="450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8702 10 192 4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момента выпуска которых прошло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5 лет, но не более 7 лет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13,3, но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 евро за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 двигателя</w:t>
            </w:r>
          </w:p>
        </w:tc>
      </w:tr>
      <w:tr>
        <w:trPr>
          <w:trHeight w:val="450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8704 21 390 4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– – – – 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момента выпуска которых прошло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5 лет, но не более 7 лет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 но не менее 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 за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двигателя</w:t>
            </w:r>
          </w:p>
        </w:tc>
      </w:tr>
      <w:tr>
        <w:trPr>
          <w:trHeight w:val="450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8704 21 990 4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– – – – 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момента выпуска которых прошло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5 лет, но не более 7 лет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 но не менее 0,13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 за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двигателя</w:t>
            </w:r>
          </w:p>
        </w:tc>
      </w:tr>
      <w:tr>
        <w:trPr>
          <w:trHeight w:val="450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8704 22 990 5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– – – – 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момента выпуска которых прошло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5 лет, но не более 7 лет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 но не менее 0,18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 за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двигателя</w:t>
            </w:r>
          </w:p>
        </w:tc>
      </w:tr>
      <w:tr>
        <w:trPr>
          <w:trHeight w:val="450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8704 23 990 5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момента выпуска которых прошло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5 лет, но не более 7 лет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13,3, но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 евро за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 двигателя</w:t>
            </w:r>
          </w:p>
        </w:tc>
      </w:tr>
      <w:tr>
        <w:trPr>
          <w:trHeight w:val="450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8704 31 390 4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– – – – 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момента выпуска которых прошло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5 лет, но не более 7 лет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 но не менее 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 за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двигателя</w:t>
            </w:r>
          </w:p>
        </w:tc>
      </w:tr>
      <w:tr>
        <w:trPr>
          <w:trHeight w:val="450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8704 31 990 4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– – – – 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момента выпуска которых прошло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5 лет, но не более 7 лет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 но не менее 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 за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двигателя</w:t>
            </w:r>
          </w:p>
        </w:tc>
      </w:tr>
      <w:tr>
        <w:trPr>
          <w:trHeight w:val="450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8705 10 009 5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бывшие в эксплуатации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 но не менее 0,28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 за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двигателя</w:t>
            </w:r>
          </w:p>
        </w:tc>
      </w:tr>
      <w:tr>
        <w:trPr>
          <w:trHeight w:val="450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8705 90 100 5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бывшие в эксплуатации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 но не менее 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 за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двигателя</w:t>
            </w:r>
          </w:p>
        </w:tc>
      </w:tr>
      <w:tr>
        <w:trPr>
          <w:trHeight w:val="450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8705 90 300 5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бывшие в эксплуатации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13,8, но не менее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 за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двигателя</w:t>
            </w:r>
          </w:p>
        </w:tc>
      </w:tr>
      <w:tr>
        <w:trPr>
          <w:trHeight w:val="450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8705 90 900 5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бывшие в эксплуатации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 но не менее 0,04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 за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двигателя</w:t>
            </w:r>
          </w:p>
        </w:tc>
      </w:tr>
      <w:tr>
        <w:trPr>
          <w:trHeight w:val="450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8716 39 800 3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полуприцепы автомобильные,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полной массой более 15 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габаритной длиной не менее 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 но не менее 13,8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 за 1 т полной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массы</w:t>
            </w:r>
          </w:p>
        </w:tc>
      </w:tr>
      <w:tr>
        <w:trPr>
          <w:trHeight w:val="450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8716 39 800 4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полуприцепы автомобильные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рефрижераторные с внутренним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объемом кузова не менее 76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 но не менее 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 за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кузова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