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73c" w14:textId="45ee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273.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ноября 2012 г. № 237,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2013 г. № 273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</w:t>
      </w:r>
      <w:r>
        <w:br/>
      </w:r>
      <w:r>
        <w:rPr>
          <w:rFonts w:ascii="Times New Roman"/>
          <w:b/>
          <w:i w:val="false"/>
          <w:color w:val="000000"/>
        </w:rPr>
        <w:t>пересмотру) межгосударственных стандартов, в результате</w:t>
      </w:r>
      <w:r>
        <w:br/>
      </w:r>
      <w:r>
        <w:rPr>
          <w:rFonts w:ascii="Times New Roman"/>
          <w:b/>
          <w:i w:val="false"/>
          <w:color w:val="000000"/>
        </w:rPr>
        <w:t>применения которых на добровольной основе обеспечивается</w:t>
      </w:r>
      <w:r>
        <w:br/>
      </w:r>
      <w:r>
        <w:rPr>
          <w:rFonts w:ascii="Times New Roman"/>
          <w:b/>
          <w:i w:val="false"/>
          <w:color w:val="000000"/>
        </w:rPr>
        <w:t>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парфюмерно-косметической продукции" (ТР ТС</w:t>
      </w:r>
      <w:r>
        <w:br/>
      </w:r>
      <w:r>
        <w:rPr>
          <w:rFonts w:ascii="Times New Roman"/>
          <w:b/>
          <w:i w:val="false"/>
          <w:color w:val="000000"/>
        </w:rPr>
        <w:t>009/2011), а также межгосударственных стандартов,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правила и методы исследований (испытаний) и измерений, в том</w:t>
      </w:r>
      <w:r>
        <w:br/>
      </w:r>
      <w:r>
        <w:rPr>
          <w:rFonts w:ascii="Times New Roman"/>
          <w:b/>
          <w:i w:val="false"/>
          <w:color w:val="000000"/>
        </w:rPr>
        <w:t>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технического регламента Таможенного союза "О</w:t>
      </w:r>
      <w:r>
        <w:br/>
      </w:r>
      <w:r>
        <w:rPr>
          <w:rFonts w:ascii="Times New Roman"/>
          <w:b/>
          <w:i w:val="false"/>
          <w:color w:val="000000"/>
        </w:rPr>
        <w:t>безопасности парфюмерно-косметической продукции" (ТР ТС</w:t>
      </w:r>
      <w:r>
        <w:br/>
      </w:r>
      <w:r>
        <w:rPr>
          <w:rFonts w:ascii="Times New Roman"/>
          <w:b/>
          <w:i w:val="false"/>
          <w:color w:val="000000"/>
        </w:rPr>
        <w:t>009/2011) и осуществления оценки (подтверждения)</w:t>
      </w:r>
      <w:r>
        <w:br/>
      </w:r>
      <w:r>
        <w:rPr>
          <w:rFonts w:ascii="Times New Roman"/>
          <w:b/>
          <w:i w:val="false"/>
          <w:color w:val="000000"/>
        </w:rPr>
        <w:t>соответствия продукции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графы 7 головки таблицы после слова "союза" дополнить словами "и Единого экономического пространства".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позициями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Микробиология. Подсчет дрожжей и плесени.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16212:2008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Микробиология. Обнаружение специфических и неспецифических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18415:2007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дезинфицирующие химические и антисептики. Консервация тест-микроорганизмов, используемых для определения бактерицидной (включая микроорганизмы Legionella), микобактерицидной, спорицидной, фунгицидной и вируцидной (включая бактериофаги) активности.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12353:2006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Количественное определение пиритионина цинка, пироктонаоламина и климбазола в составе косметических средств против перхоти с содержанием поверхностно-активных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16342:2013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Определение содержания 3-йодо-2-пропинилбутилкарбамата (IPBC) в косметических средствах методами жидкостной хроматографии и масс-спектрометрии.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16343:2013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Средства солнцезащитные.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invivo коэффициента степени защиты от ультрафиолетовых лучей спектра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24442:2011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Средства солнцезащитные. Определение invitro степени фотозащиты от ультрафиолетовых лучей спектра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24443:2012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Скрининг УФ-фильтров в косметической продукции и количественное определение 10 УФ-фильтров с помощью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16344:2013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Методы контроля защиты от солнца. Обзор и анализ методов по оценке фотопротекции солнцезащитных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26369:2009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в ампулах. Методы определения стерильности.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позицией 45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ухода за зубами. Требования, методы испытаний и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11609:2010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