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39aa" w14:textId="88a39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решения Коллегии Евразийской экономической комиссии</w:t>
      </w:r>
    </w:p>
    <w:p>
      <w:pPr>
        <w:spacing w:after="0"/>
        <w:ind w:left="0"/>
        <w:jc w:val="both"/>
      </w:pPr>
      <w:r>
        <w:rPr>
          <w:rFonts w:ascii="Times New Roman"/>
          <w:b w:val="false"/>
          <w:i w:val="false"/>
          <w:color w:val="000000"/>
          <w:sz w:val="28"/>
        </w:rPr>
        <w:t>Решение Коллегии Евразийской экономической комиссии от 26 ноября 2013 года № 268</w:t>
      </w:r>
    </w:p>
    <w:p>
      <w:pPr>
        <w:spacing w:after="0"/>
        <w:ind w:left="0"/>
        <w:jc w:val="both"/>
      </w:pPr>
      <w:bookmarkStart w:name="z1" w:id="0"/>
      <w:r>
        <w:rPr>
          <w:rFonts w:ascii="Times New Roman"/>
          <w:b w:val="false"/>
          <w:i w:val="false"/>
          <w:color w:val="000000"/>
          <w:sz w:val="28"/>
        </w:rPr>
        <w:t>
      В соответствии с </w:t>
      </w:r>
      <w:r>
        <w:rPr>
          <w:rFonts w:ascii="Times New Roman"/>
          <w:b w:val="false"/>
          <w:i w:val="false"/>
          <w:color w:val="000000"/>
          <w:sz w:val="28"/>
        </w:rPr>
        <w:t>Договором</w:t>
      </w:r>
      <w:r>
        <w:rPr>
          <w:rFonts w:ascii="Times New Roman"/>
          <w:b w:val="false"/>
          <w:i w:val="false"/>
          <w:color w:val="000000"/>
          <w:sz w:val="28"/>
        </w:rPr>
        <w:t xml:space="preserve"> о функционировании Таможенного союза в рамках многосторонней торговой системы от 19 мая 2011 года, Протоколом от 16 декабря 2011 года о присоединении Российской Федерации к Марракешскому соглашению об учреждении Всемирной торговой организации от 15 апреля 1994 г. и обязательствами в рамках Всемирной торговой организации, предусмотренными пунктом 620 Доклада Рабочей группы по присоединению Российской Федерации к Всемирной торговой организации, на основании </w:t>
      </w:r>
      <w:r>
        <w:rPr>
          <w:rFonts w:ascii="Times New Roman"/>
          <w:b w:val="false"/>
          <w:i w:val="false"/>
          <w:color w:val="000000"/>
          <w:sz w:val="28"/>
        </w:rPr>
        <w:t>статьи 8</w:t>
      </w:r>
      <w:r>
        <w:rPr>
          <w:rFonts w:ascii="Times New Roman"/>
          <w:b w:val="false"/>
          <w:i w:val="false"/>
          <w:color w:val="000000"/>
          <w:sz w:val="28"/>
        </w:rPr>
        <w:t xml:space="preserve"> Соглашения о применении специальных защитных, антидемпинговых и компенсационных мер по отношению к третьим странам от 25 января 2008 года и доклада Департамента защиты внутреннего рынка, подготовленного по результатам повторного специального защитного расследования в отношении труб из коррозионно-стойкой стали наружным диаметром до 426 мм включительно, ввозимых на единую таможенную территорию Таможенного союза,</w:t>
      </w:r>
      <w:r>
        <w:br/>
      </w:r>
      <w:r>
        <w:rPr>
          <w:rFonts w:ascii="Times New Roman"/>
          <w:b w:val="false"/>
          <w:i w:val="false"/>
          <w:color w:val="000000"/>
          <w:sz w:val="28"/>
        </w:rPr>
        <w:t xml:space="preserve">
после консультаций с Консультативным комитетом по торговле Коллегия Евразийской экономической комиссии </w:t>
      </w:r>
      <w:r>
        <w:rPr>
          <w:rFonts w:ascii="Times New Roman"/>
          <w:b/>
          <w:i w:val="false"/>
          <w:color w:val="000000"/>
          <w:sz w:val="28"/>
        </w:rPr>
        <w:t>решила:</w:t>
      </w:r>
      <w:r>
        <w:br/>
      </w:r>
      <w:r>
        <w:rPr>
          <w:rFonts w:ascii="Times New Roman"/>
          <w:b w:val="false"/>
          <w:i w:val="false"/>
          <w:color w:val="000000"/>
          <w:sz w:val="28"/>
        </w:rPr>
        <w:t>
</w:t>
      </w:r>
      <w:r>
        <w:rPr>
          <w:rFonts w:ascii="Times New Roman"/>
          <w:b w:val="false"/>
          <w:i w:val="false"/>
          <w:color w:val="000000"/>
          <w:sz w:val="28"/>
        </w:rPr>
        <w:t>
      1. Внести в решения Коллегии Евразийской экономической комиссии изменения согласно приложению.</w:t>
      </w:r>
      <w:r>
        <w:br/>
      </w:r>
      <w:r>
        <w:rPr>
          <w:rFonts w:ascii="Times New Roman"/>
          <w:b w:val="false"/>
          <w:i w:val="false"/>
          <w:color w:val="000000"/>
          <w:sz w:val="28"/>
        </w:rPr>
        <w:t>
</w:t>
      </w: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0"/>
    <w:p>
      <w:pPr>
        <w:spacing w:after="0"/>
        <w:ind w:left="0"/>
        <w:jc w:val="both"/>
      </w:pPr>
      <w:r>
        <w:rPr>
          <w:rFonts w:ascii="Times New Roman"/>
          <w:b w:val="false"/>
          <w:i/>
          <w:color w:val="000000"/>
          <w:sz w:val="28"/>
        </w:rPr>
        <w:t>      Председатель Коллегии</w:t>
      </w:r>
      <w:r>
        <w:br/>
      </w:r>
      <w:r>
        <w:rPr>
          <w:rFonts w:ascii="Times New Roman"/>
          <w:b w:val="false"/>
          <w:i w:val="false"/>
          <w:color w:val="000000"/>
          <w:sz w:val="28"/>
        </w:rPr>
        <w:t>
</w:t>
      </w:r>
      <w:r>
        <w:rPr>
          <w:rFonts w:ascii="Times New Roman"/>
          <w:b w:val="false"/>
          <w:i/>
          <w:color w:val="000000"/>
          <w:sz w:val="28"/>
        </w:rPr>
        <w:t>      Евразийской экономической комиссии         В. Христенко</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26 ноября 2013 года № 268   </w:t>
      </w:r>
    </w:p>
    <w:bookmarkEnd w:id="1"/>
    <w:bookmarkStart w:name="z5" w:id="2"/>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
вносимые в решения Коллегии </w:t>
      </w:r>
      <w:r>
        <w:br/>
      </w:r>
      <w:r>
        <w:rPr>
          <w:rFonts w:ascii="Times New Roman"/>
          <w:b/>
          <w:i w:val="false"/>
          <w:color w:val="000000"/>
        </w:rPr>
        <w:t>
Евразийской экономической комиссии</w:t>
      </w:r>
    </w:p>
    <w:bookmarkEnd w:id="2"/>
    <w:bookmarkStart w:name="z6" w:id="3"/>
    <w:p>
      <w:pPr>
        <w:spacing w:after="0"/>
        <w:ind w:left="0"/>
        <w:jc w:val="both"/>
      </w:pPr>
      <w:r>
        <w:rPr>
          <w:rFonts w:ascii="Times New Roman"/>
          <w:b w:val="false"/>
          <w:i w:val="false"/>
          <w:color w:val="000000"/>
          <w:sz w:val="28"/>
        </w:rPr>
        <w:t>
      1. В </w:t>
      </w:r>
      <w:r>
        <w:rPr>
          <w:rFonts w:ascii="Times New Roman"/>
          <w:b w:val="false"/>
          <w:i w:val="false"/>
          <w:color w:val="000000"/>
          <w:sz w:val="28"/>
        </w:rPr>
        <w:t>разделе 2.29</w:t>
      </w:r>
      <w:r>
        <w:rPr>
          <w:rFonts w:ascii="Times New Roman"/>
          <w:b w:val="false"/>
          <w:i w:val="false"/>
          <w:color w:val="000000"/>
          <w:sz w:val="28"/>
        </w:rPr>
        <w:t xml:space="preserve"> Единого перечня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утвержденного Решением Коллегии Евразийской экономической комиссии от 16 августа 2012 г. № 134 «О нормативных правовых актах в области нетарифного регулирования», коды «7304 49 930 1» и «7304 49950 1» ТН ВЭД ТС исключить.</w:t>
      </w:r>
      <w:r>
        <w:br/>
      </w: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Решении</w:t>
      </w:r>
      <w:r>
        <w:rPr>
          <w:rFonts w:ascii="Times New Roman"/>
          <w:b w:val="false"/>
          <w:i w:val="false"/>
          <w:color w:val="000000"/>
          <w:sz w:val="28"/>
        </w:rPr>
        <w:t xml:space="preserve"> Коллегии Евразийской экономической комиссии </w:t>
      </w:r>
      <w:r>
        <w:br/>
      </w:r>
      <w:r>
        <w:rPr>
          <w:rFonts w:ascii="Times New Roman"/>
          <w:b w:val="false"/>
          <w:i w:val="false"/>
          <w:color w:val="000000"/>
          <w:sz w:val="28"/>
        </w:rPr>
        <w:t>
от 23 августа 2012 г. № 143 «О мерах по защите экономических интересов производителей нержавеющих труб в Таможенном союзе»:</w:t>
      </w:r>
      <w:r>
        <w:br/>
      </w:r>
      <w:r>
        <w:rPr>
          <w:rFonts w:ascii="Times New Roman"/>
          <w:b w:val="false"/>
          <w:i w:val="false"/>
          <w:color w:val="000000"/>
          <w:sz w:val="28"/>
        </w:rPr>
        <w:t>
</w:t>
      </w:r>
      <w:r>
        <w:rPr>
          <w:rFonts w:ascii="Times New Roman"/>
          <w:b w:val="false"/>
          <w:i w:val="false"/>
          <w:color w:val="000000"/>
          <w:sz w:val="28"/>
        </w:rPr>
        <w:t>
      а)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 Установить сроком по 1 ноября 2014 г. включительно импортную квоту в объемах согласно приложению № 1 в отношении помещаемых под таможенные процедуры выпуска для внутреннего потребления и переработки для внутреннего потребления труб из коррозионно-стойкой стали наружным диаметром до 426 мм включительно, классифицируемых кодами 7304 11 000 1, 7304 11 000 2, 7304 11 000 3, 7304 11 000 4, 7304 11 000 8,7304 41 000 9,7304 49 100 0, 7304 49 930 9, 7304 49 950 9, 7304 49 990 0,7306 11 100 0, 7306 11 900 0, 7306 40 200 1, 7306 40 200 9, 7306 40 800 2,7306 40 800 8 ТН ВЭД ТС.</w:t>
      </w:r>
      <w:r>
        <w:br/>
      </w:r>
      <w:r>
        <w:rPr>
          <w:rFonts w:ascii="Times New Roman"/>
          <w:b w:val="false"/>
          <w:i w:val="false"/>
          <w:color w:val="000000"/>
          <w:sz w:val="28"/>
        </w:rPr>
        <w:t>
      Для целей применения указанной импортной квоты товар определяется как кодами ТН ВЭД ТС, так и наименованием товара.</w:t>
      </w:r>
      <w:r>
        <w:br/>
      </w:r>
      <w:r>
        <w:rPr>
          <w:rFonts w:ascii="Times New Roman"/>
          <w:b w:val="false"/>
          <w:i w:val="false"/>
          <w:color w:val="000000"/>
          <w:sz w:val="28"/>
        </w:rPr>
        <w:t xml:space="preserve">
      Действие импортной квоты не распространяется на разновидности труб из коррозионно-стойкой стали по перечню согласно </w:t>
      </w:r>
      <w:r>
        <w:br/>
      </w:r>
      <w:r>
        <w:rPr>
          <w:rFonts w:ascii="Times New Roman"/>
          <w:b w:val="false"/>
          <w:i w:val="false"/>
          <w:color w:val="000000"/>
          <w:sz w:val="28"/>
        </w:rPr>
        <w:t>
приложению № 2.</w:t>
      </w:r>
      <w:r>
        <w:br/>
      </w:r>
      <w:r>
        <w:rPr>
          <w:rFonts w:ascii="Times New Roman"/>
          <w:b w:val="false"/>
          <w:i w:val="false"/>
          <w:color w:val="000000"/>
          <w:sz w:val="28"/>
        </w:rPr>
        <w:t>
      2. Действие импортной квоты, установленной настоящим Решением, не распространяется на трубы из коррозионно-стойкой стали, указанные в пункте 1 настоящего Решения и происходящие из развивающихся стран – пользователей системы тарифных преференций Таможенного союза, за исключением Федеративной Республики Бразилия, Китайской Народной Республики и Республики Малайзия.»;</w:t>
      </w:r>
      <w:r>
        <w:br/>
      </w:r>
      <w:r>
        <w:rPr>
          <w:rFonts w:ascii="Times New Roman"/>
          <w:b w:val="false"/>
          <w:i w:val="false"/>
          <w:color w:val="000000"/>
          <w:sz w:val="28"/>
        </w:rPr>
        <w:t>
</w:t>
      </w:r>
      <w:r>
        <w:rPr>
          <w:rFonts w:ascii="Times New Roman"/>
          <w:b w:val="false"/>
          <w:i w:val="false"/>
          <w:color w:val="000000"/>
          <w:sz w:val="28"/>
        </w:rPr>
        <w:t>
      б) </w:t>
      </w:r>
      <w:r>
        <w:rPr>
          <w:rFonts w:ascii="Times New Roman"/>
          <w:b w:val="false"/>
          <w:i w:val="false"/>
          <w:color w:val="000000"/>
          <w:sz w:val="28"/>
        </w:rPr>
        <w:t>пункт 3</w:t>
      </w:r>
      <w:r>
        <w:rPr>
          <w:rFonts w:ascii="Times New Roman"/>
          <w:b w:val="false"/>
          <w:i w:val="false"/>
          <w:color w:val="000000"/>
          <w:sz w:val="28"/>
        </w:rPr>
        <w:t xml:space="preserve"> дополнить абзацем следующего содержания:</w:t>
      </w:r>
      <w:r>
        <w:br/>
      </w:r>
      <w:r>
        <w:rPr>
          <w:rFonts w:ascii="Times New Roman"/>
          <w:b w:val="false"/>
          <w:i w:val="false"/>
          <w:color w:val="000000"/>
          <w:sz w:val="28"/>
        </w:rPr>
        <w:t>
      «перераспределить объемы импортной квоты на 2014 год между участниками внешнеторговой деятельности не позднее 27 декабря 2013 г. (за исключением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приложение</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г) дополнить приложениями № 1 и 2 следующего содержания:</w:t>
      </w:r>
    </w:p>
    <w:bookmarkEnd w:id="3"/>
    <w:p>
      <w:pPr>
        <w:spacing w:after="0"/>
        <w:ind w:left="0"/>
        <w:jc w:val="both"/>
      </w:pPr>
      <w:r>
        <w:rPr>
          <w:rFonts w:ascii="Times New Roman"/>
          <w:b w:val="false"/>
          <w:i w:val="false"/>
          <w:color w:val="000000"/>
          <w:sz w:val="28"/>
        </w:rPr>
        <w:t xml:space="preserve">«ПРИЛОЖЕНИЕ № 1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23 августа 2012 года № 143  </w:t>
      </w:r>
    </w:p>
    <w:p>
      <w:pPr>
        <w:spacing w:after="0"/>
        <w:ind w:left="0"/>
        <w:jc w:val="left"/>
      </w:pPr>
      <w:r>
        <w:rPr>
          <w:rFonts w:ascii="Times New Roman"/>
          <w:b/>
          <w:i w:val="false"/>
          <w:color w:val="000000"/>
        </w:rPr>
        <w:t xml:space="preserve"> РАСПРЕДЕЛЕНИЕ</w:t>
      </w:r>
      <w:r>
        <w:br/>
      </w:r>
      <w:r>
        <w:rPr>
          <w:rFonts w:ascii="Times New Roman"/>
          <w:b/>
          <w:i w:val="false"/>
          <w:color w:val="000000"/>
        </w:rPr>
        <w:t>
объемов импортной квоты на ввоз труб из коррозионно-стойкой</w:t>
      </w:r>
      <w:r>
        <w:br/>
      </w:r>
      <w:r>
        <w:rPr>
          <w:rFonts w:ascii="Times New Roman"/>
          <w:b/>
          <w:i w:val="false"/>
          <w:color w:val="000000"/>
        </w:rPr>
        <w:t>
стали наружным диаметром до 426 мм включительно</w:t>
      </w:r>
      <w:r>
        <w:br/>
      </w:r>
      <w:r>
        <w:rPr>
          <w:rFonts w:ascii="Times New Roman"/>
          <w:b/>
          <w:i w:val="false"/>
          <w:color w:val="000000"/>
        </w:rPr>
        <w:t>
в 2012 – 2014 годах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5"/>
        <w:gridCol w:w="1172"/>
        <w:gridCol w:w="905"/>
        <w:gridCol w:w="1122"/>
        <w:gridCol w:w="1324"/>
        <w:gridCol w:w="1325"/>
        <w:gridCol w:w="1325"/>
        <w:gridCol w:w="1344"/>
        <w:gridCol w:w="906"/>
        <w:gridCol w:w="1102"/>
      </w:tblGrid>
      <w:tr>
        <w:trPr>
          <w:trHeight w:val="30" w:hRule="atLeast"/>
        </w:trPr>
        <w:tc>
          <w:tcPr>
            <w:tcW w:w="22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Государство</w:t>
            </w:r>
            <w:r>
              <w:br/>
            </w:r>
            <w:r>
              <w:rPr>
                <w:rFonts w:ascii="Times New Roman"/>
                <w:b w:val="false"/>
                <w:i w:val="false"/>
                <w:color w:val="000000"/>
                <w:sz w:val="20"/>
              </w:rPr>
              <w:t>
</w:t>
            </w:r>
            <w:r>
              <w:rPr>
                <w:rFonts w:ascii="Times New Roman"/>
                <w:b w:val="false"/>
                <w:i w:val="false"/>
                <w:color w:val="000000"/>
                <w:sz w:val="20"/>
              </w:rPr>
              <w:t>(союз</w:t>
            </w:r>
            <w:r>
              <w:br/>
            </w:r>
            <w:r>
              <w:rPr>
                <w:rFonts w:ascii="Times New Roman"/>
                <w:b w:val="false"/>
                <w:i w:val="false"/>
                <w:color w:val="000000"/>
                <w:sz w:val="20"/>
              </w:rPr>
              <w:t>
</w:t>
            </w:r>
            <w:r>
              <w:rPr>
                <w:rFonts w:ascii="Times New Roman"/>
                <w:b w:val="false"/>
                <w:i w:val="false"/>
                <w:color w:val="000000"/>
                <w:sz w:val="20"/>
              </w:rPr>
              <w:t>государств)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годовой импортной квоты (тонн)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Беларусь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Казахстан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Российская Федерация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Европейский союз</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365 х N</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r>
              <w:br/>
            </w:r>
            <w:r>
              <w:rPr>
                <w:rFonts w:ascii="Times New Roman"/>
                <w:b w:val="false"/>
                <w:i w:val="false"/>
                <w:color w:val="000000"/>
                <w:sz w:val="20"/>
              </w:rPr>
              <w:t>
</w:t>
            </w:r>
            <w:r>
              <w:rPr>
                <w:rFonts w:ascii="Times New Roman"/>
                <w:b w:val="false"/>
                <w:i w:val="false"/>
                <w:color w:val="000000"/>
                <w:sz w:val="20"/>
              </w:rPr>
              <w:t>365 х 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r>
              <w:br/>
            </w:r>
            <w:r>
              <w:rPr>
                <w:rFonts w:ascii="Times New Roman"/>
                <w:b w:val="false"/>
                <w:i w:val="false"/>
                <w:color w:val="000000"/>
                <w:sz w:val="20"/>
              </w:rPr>
              <w:t>
</w:t>
            </w:r>
            <w:r>
              <w:rPr>
                <w:rFonts w:ascii="Times New Roman"/>
                <w:b w:val="false"/>
                <w:i w:val="false"/>
                <w:color w:val="000000"/>
                <w:sz w:val="20"/>
              </w:rPr>
              <w:t>365 х N</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7205</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365 х N</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r>
              <w:br/>
            </w:r>
            <w:r>
              <w:rPr>
                <w:rFonts w:ascii="Times New Roman"/>
                <w:b w:val="false"/>
                <w:i w:val="false"/>
                <w:color w:val="000000"/>
                <w:sz w:val="20"/>
              </w:rPr>
              <w:t>
</w:t>
            </w:r>
            <w:r>
              <w:rPr>
                <w:rFonts w:ascii="Times New Roman"/>
                <w:b w:val="false"/>
                <w:i w:val="false"/>
                <w:color w:val="000000"/>
                <w:sz w:val="20"/>
              </w:rPr>
              <w:t>365 х 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r>
              <w:br/>
            </w:r>
            <w:r>
              <w:rPr>
                <w:rFonts w:ascii="Times New Roman"/>
                <w:b w:val="false"/>
                <w:i w:val="false"/>
                <w:color w:val="000000"/>
                <w:sz w:val="20"/>
              </w:rPr>
              <w:t>
</w:t>
            </w:r>
            <w:r>
              <w:rPr>
                <w:rFonts w:ascii="Times New Roman"/>
                <w:b w:val="false"/>
                <w:i w:val="false"/>
                <w:color w:val="000000"/>
                <w:sz w:val="20"/>
              </w:rPr>
              <w:t>365 х N</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Китайская Народная Республика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365 х N</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r>
              <w:br/>
            </w:r>
            <w:r>
              <w:rPr>
                <w:rFonts w:ascii="Times New Roman"/>
                <w:b w:val="false"/>
                <w:i w:val="false"/>
                <w:color w:val="000000"/>
                <w:sz w:val="20"/>
              </w:rPr>
              <w:t>
</w:t>
            </w:r>
            <w:r>
              <w:rPr>
                <w:rFonts w:ascii="Times New Roman"/>
                <w:b w:val="false"/>
                <w:i w:val="false"/>
                <w:color w:val="000000"/>
                <w:sz w:val="20"/>
              </w:rPr>
              <w:t>365 х 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 365 х N</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7369</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4787</w:t>
            </w:r>
          </w:p>
        </w:tc>
      </w:tr>
      <w:tr>
        <w:trPr>
          <w:trHeight w:val="30" w:hRule="atLeast"/>
        </w:trPr>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Прочие государства</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br/>
            </w:r>
            <w:r>
              <w:rPr>
                <w:rFonts w:ascii="Times New Roman"/>
                <w:b w:val="false"/>
                <w:i w:val="false"/>
                <w:color w:val="000000"/>
                <w:sz w:val="20"/>
              </w:rPr>
              <w:t>
</w:t>
            </w:r>
            <w:r>
              <w:rPr>
                <w:rFonts w:ascii="Times New Roman"/>
                <w:b w:val="false"/>
                <w:i w:val="false"/>
                <w:color w:val="000000"/>
                <w:sz w:val="20"/>
              </w:rPr>
              <w:t>365 х N</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r>
              <w:rPr>
                <w:rFonts w:ascii="Times New Roman"/>
                <w:b w:val="false"/>
                <w:i w:val="false"/>
                <w:color w:val="000000"/>
                <w:sz w:val="20"/>
              </w:rPr>
              <w:t>365 х N</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c>
          <w:tcPr>
            <w:tcW w:w="1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 365 х N</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3294</w:t>
            </w:r>
          </w:p>
        </w:tc>
      </w:tr>
    </w:tbl>
    <w:p>
      <w:pPr>
        <w:spacing w:after="0"/>
        <w:ind w:left="0"/>
        <w:jc w:val="both"/>
      </w:pPr>
      <w:r>
        <w:rPr>
          <w:rFonts w:ascii="Times New Roman"/>
          <w:b w:val="false"/>
          <w:i w:val="false"/>
          <w:color w:val="000000"/>
          <w:sz w:val="28"/>
        </w:rPr>
        <w:t>________________</w:t>
      </w:r>
    </w:p>
    <w:p>
      <w:pPr>
        <w:spacing w:after="0"/>
        <w:ind w:left="0"/>
        <w:jc w:val="both"/>
      </w:pPr>
      <w:r>
        <w:rPr>
          <w:rFonts w:ascii="Times New Roman"/>
          <w:b w:val="false"/>
          <w:i w:val="false"/>
          <w:color w:val="000000"/>
          <w:sz w:val="28"/>
        </w:rPr>
        <w:t xml:space="preserve">* Объем импортной квоты на 2012 год рассчитывается по формуле: </w:t>
      </w:r>
      <w:r>
        <w:br/>
      </w:r>
      <w:r>
        <w:rPr>
          <w:rFonts w:ascii="Times New Roman"/>
          <w:b w:val="false"/>
          <w:i w:val="false"/>
          <w:color w:val="000000"/>
          <w:sz w:val="28"/>
        </w:rPr>
        <w:t>
(объем годовой импортной квоты / 365 дней) х N, где N – количество дней с даты вступления в силу настоящего Решения по 31 декабря 2012 г.</w:t>
      </w:r>
      <w:r>
        <w:br/>
      </w:r>
      <w:r>
        <w:rPr>
          <w:rFonts w:ascii="Times New Roman"/>
          <w:b w:val="false"/>
          <w:i w:val="false"/>
          <w:color w:val="000000"/>
          <w:sz w:val="28"/>
        </w:rPr>
        <w:t>
** С учетом срока действия меры по 1 ноября 2014 г. включительно.</w:t>
      </w:r>
      <w:r>
        <w:br/>
      </w:r>
      <w:r>
        <w:rPr>
          <w:rFonts w:ascii="Times New Roman"/>
          <w:b w:val="false"/>
          <w:i w:val="false"/>
          <w:color w:val="000000"/>
          <w:sz w:val="28"/>
        </w:rPr>
        <w:t>
*** В случае если по истечении второго квартала соответствующего календарного года объем импортной квоты, предусмотренный настоящим приложением для Европейского союза, Украины или Китайской Народной Республики, будет исчерпан соответствующим экспортирующим государством (союзом государств), выдача лицензий участникам внешнеторговой деятельности сверх предусмотренного объема импортной квоты для этого государства (союза государств) может быть осуществлена Республикой Казахстан за счет объема импортной квоты, предусмотренного для прочих государств (при наличии соответствующего объема).</w:t>
      </w:r>
    </w:p>
    <w:p>
      <w:pPr>
        <w:spacing w:after="0"/>
        <w:ind w:left="0"/>
        <w:jc w:val="both"/>
      </w:pPr>
      <w:r>
        <w:rPr>
          <w:rFonts w:ascii="Times New Roman"/>
          <w:b w:val="false"/>
          <w:i w:val="false"/>
          <w:color w:val="000000"/>
          <w:sz w:val="28"/>
        </w:rPr>
        <w:t xml:space="preserve">ПРИЛОЖЕНИЕ № 2          </w:t>
      </w:r>
      <w:r>
        <w:br/>
      </w:r>
      <w:r>
        <w:rPr>
          <w:rFonts w:ascii="Times New Roman"/>
          <w:b w:val="false"/>
          <w:i w:val="false"/>
          <w:color w:val="000000"/>
          <w:sz w:val="28"/>
        </w:rPr>
        <w:t xml:space="preserve">
к Решению Коллегии        </w:t>
      </w:r>
      <w:r>
        <w:br/>
      </w:r>
      <w:r>
        <w:rPr>
          <w:rFonts w:ascii="Times New Roman"/>
          <w:b w:val="false"/>
          <w:i w:val="false"/>
          <w:color w:val="000000"/>
          <w:sz w:val="28"/>
        </w:rPr>
        <w:t>
Евразийской экономической комиссии</w:t>
      </w:r>
      <w:r>
        <w:br/>
      </w:r>
      <w:r>
        <w:rPr>
          <w:rFonts w:ascii="Times New Roman"/>
          <w:b w:val="false"/>
          <w:i w:val="false"/>
          <w:color w:val="000000"/>
          <w:sz w:val="28"/>
        </w:rPr>
        <w:t xml:space="preserve">
от 23 августа 2012 года № 143   </w:t>
      </w:r>
    </w:p>
    <w:p>
      <w:pPr>
        <w:spacing w:after="0"/>
        <w:ind w:left="0"/>
        <w:jc w:val="left"/>
      </w:pPr>
      <w:r>
        <w:rPr>
          <w:rFonts w:ascii="Times New Roman"/>
          <w:b/>
          <w:i w:val="false"/>
          <w:color w:val="000000"/>
        </w:rPr>
        <w:t xml:space="preserve"> ПЕРЕЧЕНЬ</w:t>
      </w:r>
      <w:r>
        <w:br/>
      </w:r>
      <w:r>
        <w:rPr>
          <w:rFonts w:ascii="Times New Roman"/>
          <w:b/>
          <w:i w:val="false"/>
          <w:color w:val="000000"/>
        </w:rPr>
        <w:t>
разновидностей труб из коррозионно-стойкой стали, на которые</w:t>
      </w:r>
      <w:r>
        <w:br/>
      </w:r>
      <w:r>
        <w:rPr>
          <w:rFonts w:ascii="Times New Roman"/>
          <w:b/>
          <w:i w:val="false"/>
          <w:color w:val="000000"/>
        </w:rPr>
        <w:t>
не распространяется действие импортной квоты</w:t>
      </w:r>
    </w:p>
    <w:p>
      <w:pPr>
        <w:spacing w:after="0"/>
        <w:ind w:left="0"/>
        <w:jc w:val="both"/>
      </w:pPr>
      <w:r>
        <w:rPr>
          <w:rFonts w:ascii="Times New Roman"/>
          <w:b w:val="false"/>
          <w:i w:val="false"/>
          <w:color w:val="000000"/>
          <w:sz w:val="28"/>
        </w:rPr>
        <w:t>      1. Трубы, произведенные из марки стали 1.4404 по EN 10088-1 (AISI 316L по ASTM),наружным диаметром до 15 мм включительно.</w:t>
      </w:r>
      <w:r>
        <w:br/>
      </w:r>
      <w:r>
        <w:rPr>
          <w:rFonts w:ascii="Times New Roman"/>
          <w:b w:val="false"/>
          <w:i w:val="false"/>
          <w:color w:val="000000"/>
          <w:sz w:val="28"/>
        </w:rPr>
        <w:t>
      2. Трубы, произведенные из марки стали 1.4436 по EN 10088-1 (AISI 316 по ASTM),наружным диаметром до 15 мм включительно.</w:t>
      </w:r>
      <w:r>
        <w:br/>
      </w:r>
      <w:r>
        <w:rPr>
          <w:rFonts w:ascii="Times New Roman"/>
          <w:b w:val="false"/>
          <w:i w:val="false"/>
          <w:color w:val="000000"/>
          <w:sz w:val="28"/>
        </w:rPr>
        <w:t>
      3. Трубы, произведенные из марки стали 1.4571 по EN 10088-1 (AISI 316Ti по ASTM),наружным диаметром до 15 мм включительно.</w:t>
      </w:r>
      <w:r>
        <w:br/>
      </w:r>
      <w:r>
        <w:rPr>
          <w:rFonts w:ascii="Times New Roman"/>
          <w:b w:val="false"/>
          <w:i w:val="false"/>
          <w:color w:val="000000"/>
          <w:sz w:val="28"/>
        </w:rPr>
        <w:t>
      4. Трубы, произведенные из марки стали 1.4301 EN 10088-1 (AISI 304 по ASTM),наружным диаметром до 15 мм включительно и внутренним диаметром до 3 мм включительно, сертифицированные для использования в гидравлических системах высокого давления до 4500 атм включительно.</w:t>
      </w:r>
      <w:r>
        <w:br/>
      </w:r>
      <w:r>
        <w:rPr>
          <w:rFonts w:ascii="Times New Roman"/>
          <w:b w:val="false"/>
          <w:i w:val="false"/>
          <w:color w:val="000000"/>
          <w:sz w:val="28"/>
        </w:rPr>
        <w:t>
      5. Трубы, произведенные из марки стали 1.4306 по EN 10088-1 (AISI 304L по ASTM),наружным диаметром до 15 мм включительно и внутренним диаметром до 3 мм включительно, сертифицированные для использования в гидравлических системах высокого давления до 4500 атм включительно.</w:t>
      </w:r>
      <w:r>
        <w:br/>
      </w:r>
      <w:r>
        <w:rPr>
          <w:rFonts w:ascii="Times New Roman"/>
          <w:b w:val="false"/>
          <w:i w:val="false"/>
          <w:color w:val="000000"/>
          <w:sz w:val="28"/>
        </w:rPr>
        <w:t>
      6. Трубы, произведенные из марки стали 1.4541 по EN 10088-1 (AISI 321 по ASTM), наружным диаметром до 15 мм включительно, длиной до 350 мм включительно.».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