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5381" w14:textId="7025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2013 г. № 244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Единые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
требования, предъявляемые к товарам, подлежащим</w:t>
      </w:r>
      <w:r>
        <w:br/>
      </w:r>
      <w:r>
        <w:rPr>
          <w:rFonts w:ascii="Times New Roman"/>
          <w:b/>
          <w:i w:val="false"/>
          <w:color w:val="000000"/>
        </w:rPr>
        <w:t>
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главой 41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«Глава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ввозе на таможенную территорию Таможенного союза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перемещении между Сторонами живых дождевых червей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(подотряд Lumbricina) и их коконов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ввозу на таможенную территорию Таможенного союза и (или) перемещению между Сторонами допускаются живые дождевые черви (подотряд Lumbricina) и их коконы (далее – дождевые черви и их коконы), предназначенные для продуктивного выращивания (вермикультура), почвоулучшения, приготовления компостов и биогумуса, использования в качестве живого корма, приманки для рыбной ловли, выращенные в вермикультуре в естественном или искусственном субстрате.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Таможенного союза и (или) перемещаемые между Сторонами дождевые черви и их коконы, предназначенные для продуктивного выращивания (вермикультура), в течение 72 часов перед отправкой должны подвергаться визуальному осмотру, в результате которого не должно быть выявлено массовой (более 10 % червей в упаковке) гибели червей.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Таможенного союза и (или) перемещаемые между Сторонами дождевые черви и их коконы,выращенные в вермикультуре, и естественный субстрат для их выращивания (почва, торф, компост, биогумус, навоз, части растений) должны происходить из хозяйств (предприятий),в которых не регистрировались сибирская язва, ящур, африканская чума свиней и губкообразная энцефалопатия.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транспортировки дождевых червей и их коконов используются упаковки (контейнеры и др.), которые обеспечивают их жизнеспособность во время транспортировки. Ввоз упаковок (контейнеров и др.), в которых при проведении визуального осмотра в момент пересечения границы обнаружена массовая гибель дождевых червей, не допускается. Указанные упаковки (контейнеры и др.) вместе с содержимым подлежат возврату в страну-экспортерили уничтожению (утилизации) в соответствии с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Упаковки (контейнеры и др.) должны быть одноразовыми и заполнены субстратом, поддерживающим жизнеспособность дождевых червей и их коконов. Каждая единица упаковки (контейнеры и др.) должна быть пронумерована и маркирована этикеткой. Этикетка должна содержать видовое название червей, сведения о количестве или массе дождевых червей, их происхождении, условиях транспортировки и может содержать иные сведения, характеризующие груз и его происхождение.».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