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d3d0c" w14:textId="26d3d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раздел 2.12 Единого перечня товаров, к которым применяются запреты или ограничения на ввоз или вывоз государствами – членами Таможенного союза в рамках Евразийского экономического сообщества в торговле с третьими странами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22 октября 2013 года № 234. Утратило силу решением Коллегии Евразийской экономической комиссии от 21 апреля 2015 года № 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решением Коллегии Евразийской экономической комиссии от 21.04.2015 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> (вступает в силу по истечении 30 календарных дней с даты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мерах нетарифного регулирования в отношении третьих стран от 25 января 2008 года и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введения и применения мер, затрагивающих внешнюю торговлю товарами, на единой таможенной территории в отношении третьих стран от 9 июня 2009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Таблицу </w:t>
      </w:r>
      <w:r>
        <w:rPr>
          <w:rFonts w:ascii="Times New Roman"/>
          <w:b w:val="false"/>
          <w:i w:val="false"/>
          <w:color w:val="000000"/>
          <w:sz w:val="28"/>
        </w:rPr>
        <w:t>раздела 2.12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Единого перечня товаров, к которым применяются запреты или ограничения на ввоз или вывоз государствами – членами Таможенного союза в рамках Евразийского экономического сообщества в торговле с третьими странами, утвержденного Решением Коллегии Евразийской экономической комиссии от 16 августа 2012 г. № 134, дополнить позицией 95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420"/>
        <w:gridCol w:w="5180"/>
        <w:gridCol w:w="2660"/>
      </w:tblGrid>
      <w:tr>
        <w:trPr>
          <w:trHeight w:val="1410" w:hRule="atLeast"/>
        </w:trPr>
        <w:tc>
          <w:tcPr>
            <w:tcW w:w="4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 Оксикодон+налоксон</w:t>
            </w:r>
          </w:p>
        </w:tc>
        <w:tc>
          <w:tcPr>
            <w:tcW w:w="5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14-гидроксидигидрокодеинон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+(5R,14S)-N-Аллил-3,14-дигидрокси-4,5-эпоксиморфинан-6-он</w:t>
            </w:r>
          </w:p>
        </w:tc>
        <w:tc>
          <w:tcPr>
            <w:tcW w:w="2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3003 40 000 0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3004 40 000 9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Евразийской экономической комиссии            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