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1b76" w14:textId="7a21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формировании в рамках Суда Евразийского экономического сообщества состава по рассмотрению дел о нарушениях правил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 проекте решения Высшего Евразийского экономического совета «О формировании в рамках Суда Евразийского экономического сообщества состава по рассмотрению дел о нарушениях правил конкуренции»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 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  "       20 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формировании в рамках Суда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состава по рассмотрению дел о нарушениях правил</w:t>
      </w:r>
      <w:r>
        <w:br/>
      </w:r>
      <w:r>
        <w:rPr>
          <w:rFonts w:ascii="Times New Roman"/>
          <w:b/>
          <w:i w:val="false"/>
          <w:color w:val="000000"/>
        </w:rPr>
        <w:t>
конкуренции»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Высшего Евразийского экономического совета «О формировании в рамках Суда Евразийского экономического сообщества состава по рассмотрению дел о нарушениях правил конкуренции»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 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   "      20 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формировании в рамках Суда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состава по рассмотрению дел о нарушениях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29 Соглашения о единых принципах и правилах конкуренции от 9 декабря 2010 года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в рамках Суда Евразийского экономического сообщества состав по рассмотрению дел о нарушениях правил конкуренции из числа назначенных судей государств – членов Таможенного союза и Единого экономического пространства.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29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