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5ee" w14:textId="3b1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яблочного сока концентрированного"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яблочного сока концентрированного»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СОВЕТ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 "         2013 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яблочного сока концентрированного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 статьи 8 Соглашения о едином таможенно-тарифном регулировании от 25 января 2008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яблочного сока концентрированного (коды 2009 79 190 2 и 2009 79 300 1 ТН ВЭД ТС) в размере 0 процентов от таможенной стоимости c 1 декабря 2013 г. по 30 ноября 2014 г.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2009 79 190 2 и 2009 79 300 1 ТН ВЭД ТС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Таможенного союза дополнить примечанием 28С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01.12.2013 по 30.11.2014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 От Республики   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 Румас               Б. Сагинтаев        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