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cd2" w14:textId="a4ee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Евразийской экономической комиссии в отношении отдельных видов моторных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сентября 2013 года № 187.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дополнительных 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к группе 87: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товарной позиции 8703 термин "автомобили повышенной проходимости" означает моторные транспортные средства, удовлетворяющие всем следующим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полная масса транспортного средства составляет менее 5 000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единое замкнутое внутреннее пространство состоит из зоны для водителя и одного или двух пассажиров, расположенных в одном ряду с водителем (зона 1), и зоны, которая может использоваться для транспортировки как людей, так и грузов (зона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 зоны оборудованы постоянными местами для крепления и приспособлениями для установки сидений и устройств безопасности для каждого человека, сиденья могут быть фиксированными, складывающимися или съемными;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количество сидений, которые могут быть установлены в двух зонах, должно обеспечивать возможность перевозки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человек, включая 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боковые стенки зоны 2 оснащены окнами;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зона 2 имеет, по крайней мере, одну дверь, оснащенную окном, в боковой стенке или сзади;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дорожный просвет (в том числе регулируемый), предусмотренный производителем транспортного средства, составляет не менее 210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имеется привод на все колеса, переключаемый на 2 колеса или непереключаемый.";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7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подсубпозиции 8703 21 109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термин "моторные транспортные средства повышенной проходимости" применяется к моторным транспортным средствам, не предназначенным для движения по дорогам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термин "шины для бездорожья" означает шины с номинальным давлением при движении вне дорог не более 100 кПа, имеющие рисунок протектора, состоящий из грунтозацепов одинаковой или различной конфигурации, разделенных выемками.";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подсубпозиции 8703 21 109 1 ТН ВЭД ТС: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графой "Код ТН ВЭД" включить символ "+";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подсубпозиции слова ", и массой нетто транспортного средства более 100 кг, но менее 420 кг"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подсубпозиции 8703 24 109 1 ТН ВЭД ТС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автомобили повышенной проходимости с рабочим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объемом цилиндров двигателя более 4200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поименованные в дополнительном примечании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Таможенного союза 6 к данной группе".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решением Совета Евразийской экономической комиссии от 14.10.2015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