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88c1" w14:textId="4188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особенностях применения методов определения таможенной стоимости товаров, ввозимых на таможенную территорию Евразийского экономического союза, пришедших в негодность, испорченных или поврежденных вследствие аварии или действия непреодолимой силы</w:t>
      </w:r>
    </w:p>
    <w:p>
      <w:pPr>
        <w:spacing w:after="0"/>
        <w:ind w:left="0"/>
        <w:jc w:val="both"/>
      </w:pPr>
      <w:r>
        <w:rPr>
          <w:rFonts w:ascii="Times New Roman"/>
          <w:b w:val="false"/>
          <w:i w:val="false"/>
          <w:color w:val="000000"/>
          <w:sz w:val="28"/>
        </w:rPr>
        <w:t>Решение Коллегии Евразийской экономической комиссии от 25 июня 2013 года № 145.</w:t>
      </w:r>
    </w:p>
    <w:p>
      <w:pPr>
        <w:spacing w:after="0"/>
        <w:ind w:left="0"/>
        <w:jc w:val="both"/>
      </w:pPr>
      <w:r>
        <w:rPr>
          <w:rFonts w:ascii="Times New Roman"/>
          <w:b w:val="false"/>
          <w:i w:val="false"/>
          <w:color w:val="ff0000"/>
          <w:sz w:val="28"/>
        </w:rPr>
        <w:t xml:space="preserve">
      Сноска. Наименование с изменением, внесенным Решением Коллегии Евразийской экономической комиссии от 14.01.2020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38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прилагаемое Положение об особенностях применения методов определения таможенной стоимости товаров, ввозимых на таможенную территорию Евразийского экономического союза, пришедших в негодность, испорченных или поврежденных вследствие аварии или действия непреодолимой силы.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2013 г. № 145</w:t>
            </w:r>
          </w:p>
        </w:tc>
      </w:tr>
    </w:tbl>
    <w:bookmarkStart w:name="z5" w:id="3"/>
    <w:p>
      <w:pPr>
        <w:spacing w:after="0"/>
        <w:ind w:left="0"/>
        <w:jc w:val="left"/>
      </w:pPr>
      <w:r>
        <w:rPr>
          <w:rFonts w:ascii="Times New Roman"/>
          <w:b/>
          <w:i w:val="false"/>
          <w:color w:val="000000"/>
        </w:rPr>
        <w:t xml:space="preserve"> ПОЛОЖЕНИЕ</w:t>
      </w:r>
      <w:r>
        <w:br/>
      </w:r>
      <w:r>
        <w:rPr>
          <w:rFonts w:ascii="Times New Roman"/>
          <w:b/>
          <w:i w:val="false"/>
          <w:color w:val="000000"/>
        </w:rPr>
        <w:t>об особенностях применения методов определения таможенной стоимости товаров,ввозимых на таможенную территорию Евразийского экономического союза, пришедших в негодность, испорченных или поврежденных вследствие аварии или действия непреодолимой силы</w:t>
      </w:r>
    </w:p>
    <w:bookmarkEnd w:id="3"/>
    <w:p>
      <w:pPr>
        <w:spacing w:after="0"/>
        <w:ind w:left="0"/>
        <w:jc w:val="both"/>
      </w:pPr>
      <w:r>
        <w:rPr>
          <w:rFonts w:ascii="Times New Roman"/>
          <w:b w:val="false"/>
          <w:i w:val="false"/>
          <w:color w:val="ff0000"/>
          <w:sz w:val="28"/>
        </w:rPr>
        <w:t xml:space="preserve">
      Сноска. Наименование Положения с изменением, внесенным Решением Коллегии Евразийской экономической комиссии от 14.01.2020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 w:id="4"/>
    <w:p>
      <w:pPr>
        <w:spacing w:after="0"/>
        <w:ind w:left="0"/>
        <w:jc w:val="both"/>
      </w:pPr>
      <w:r>
        <w:rPr>
          <w:rFonts w:ascii="Times New Roman"/>
          <w:b w:val="false"/>
          <w:i w:val="false"/>
          <w:color w:val="000000"/>
          <w:sz w:val="28"/>
        </w:rPr>
        <w:t xml:space="preserve">
      1. Настоящее Положение устанавливает особенности применения методов определения таможенной стоимости товаров, установленных </w:t>
      </w:r>
      <w:r>
        <w:rPr>
          <w:rFonts w:ascii="Times New Roman"/>
          <w:b w:val="false"/>
          <w:i w:val="false"/>
          <w:color w:val="000000"/>
          <w:sz w:val="28"/>
        </w:rPr>
        <w:t>главой 5</w:t>
      </w:r>
      <w:r>
        <w:rPr>
          <w:rFonts w:ascii="Times New Roman"/>
          <w:b w:val="false"/>
          <w:i w:val="false"/>
          <w:color w:val="000000"/>
          <w:sz w:val="28"/>
        </w:rPr>
        <w:t xml:space="preserve"> Таможенного кодекса Евразийского экономического союза (далее – Кодекс), в отношении товаров, ввозимых на таможенную территорию Евразийского экономического союза (далее – Союз), пришедших в негодность, испорченных или поврежденных вследствие аварии или действия непреодолимой силы до совершения таможенных операций, связанных с помещением таких товаров под таможенную процедуру, в том числе в период их временного хранения, а также при их перевозке в соответствии с таможенной процедурой таможенного транзита (далее – поврежденные товары).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Факт аварии или действия непреодолимой силы, а также наличие причинно-следственной связи между указанным фактом и негодностью, порчей или повреждением товаров должны быть документально подтверждены декларантом.</w:t>
      </w:r>
    </w:p>
    <w:bookmarkEnd w:id="5"/>
    <w:bookmarkStart w:name="z8" w:id="6"/>
    <w:p>
      <w:pPr>
        <w:spacing w:after="0"/>
        <w:ind w:left="0"/>
        <w:jc w:val="both"/>
      </w:pPr>
      <w:r>
        <w:rPr>
          <w:rFonts w:ascii="Times New Roman"/>
          <w:b w:val="false"/>
          <w:i w:val="false"/>
          <w:color w:val="000000"/>
          <w:sz w:val="28"/>
        </w:rPr>
        <w:t xml:space="preserve">
      3. Таможенная стоимость поврежденных товаров определяется по методу по стоимости сделки с ввозимыми товарами (метод 1), установленному </w:t>
      </w:r>
      <w:r>
        <w:rPr>
          <w:rFonts w:ascii="Times New Roman"/>
          <w:b w:val="false"/>
          <w:i w:val="false"/>
          <w:color w:val="000000"/>
          <w:sz w:val="28"/>
        </w:rPr>
        <w:t>статьей 39</w:t>
      </w:r>
      <w:r>
        <w:rPr>
          <w:rFonts w:ascii="Times New Roman"/>
          <w:b w:val="false"/>
          <w:i w:val="false"/>
          <w:color w:val="000000"/>
          <w:sz w:val="28"/>
        </w:rPr>
        <w:t xml:space="preserve"> Кодекса, если цена, фактически уплаченная или подлежащая уплате за такие товары, пересмотрена продавцом и изменение такой цены подтверждено документально (например, дополнительным соглашением к внешнеэкономическому договору (контракту), новым счетом-фактурой (инвойсом), а также если соблюдены условия, предусмотренные </w:t>
      </w:r>
      <w:r>
        <w:rPr>
          <w:rFonts w:ascii="Times New Roman"/>
          <w:b w:val="false"/>
          <w:i w:val="false"/>
          <w:color w:val="000000"/>
          <w:sz w:val="28"/>
        </w:rPr>
        <w:t>главой 5</w:t>
      </w:r>
      <w:r>
        <w:rPr>
          <w:rFonts w:ascii="Times New Roman"/>
          <w:b w:val="false"/>
          <w:i w:val="false"/>
          <w:color w:val="000000"/>
          <w:sz w:val="28"/>
        </w:rPr>
        <w:t xml:space="preserve"> Кодекса.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4. Таможенная стоимость поврежденных товаров определяется по методам, установленным </w:t>
      </w:r>
      <w:r>
        <w:rPr>
          <w:rFonts w:ascii="Times New Roman"/>
          <w:b w:val="false"/>
          <w:i w:val="false"/>
          <w:color w:val="000000"/>
          <w:sz w:val="28"/>
        </w:rPr>
        <w:t>статьями 41</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Кодекса, с учетом особенностей, предусмотренных пунктами 5 – 8 настоящего Положения, если цена, фактически уплаченная или подлежащая уплате за такие товары, не пересмотрена продавцом и (или) не соблюдены условия применения метода 1, установленные </w:t>
      </w:r>
      <w:r>
        <w:rPr>
          <w:rFonts w:ascii="Times New Roman"/>
          <w:b w:val="false"/>
          <w:i w:val="false"/>
          <w:color w:val="000000"/>
          <w:sz w:val="28"/>
        </w:rPr>
        <w:t>главой 5</w:t>
      </w:r>
      <w:r>
        <w:rPr>
          <w:rFonts w:ascii="Times New Roman"/>
          <w:b w:val="false"/>
          <w:i w:val="false"/>
          <w:color w:val="000000"/>
          <w:sz w:val="28"/>
        </w:rPr>
        <w:t xml:space="preserve"> Кодекса.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Таможенная стоимость поврежденных товаров определяется по методу по стоимости сделки с идентичными товарами (метод 2) или по методу по стоимости сделки с однородными товарами (метод 3), установленным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Кодекса, если степень годности, порчи или повреждения идентичных или однородных товаров аналогична степени годности, порчи или повреждения ввозимых на таможенную территорию Союза поврежденных товаров.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6. Таможенная стоимость поврежденных товаров определяется по методу вычитания (метод 4), установленному </w:t>
      </w:r>
      <w:r>
        <w:rPr>
          <w:rFonts w:ascii="Times New Roman"/>
          <w:b w:val="false"/>
          <w:i w:val="false"/>
          <w:color w:val="000000"/>
          <w:sz w:val="28"/>
        </w:rPr>
        <w:t>статьей 43</w:t>
      </w:r>
      <w:r>
        <w:rPr>
          <w:rFonts w:ascii="Times New Roman"/>
          <w:b w:val="false"/>
          <w:i w:val="false"/>
          <w:color w:val="000000"/>
          <w:sz w:val="28"/>
        </w:rPr>
        <w:t xml:space="preserve"> Кодекса, на основании:</w:t>
      </w:r>
    </w:p>
    <w:bookmarkEnd w:id="9"/>
    <w:p>
      <w:pPr>
        <w:spacing w:after="0"/>
        <w:ind w:left="0"/>
        <w:jc w:val="both"/>
      </w:pPr>
      <w:r>
        <w:rPr>
          <w:rFonts w:ascii="Times New Roman"/>
          <w:b w:val="false"/>
          <w:i w:val="false"/>
          <w:color w:val="000000"/>
          <w:sz w:val="28"/>
        </w:rPr>
        <w:t>
      цены единицы товара, по которой наибольшее совокупное количество таких поврежденных товаров продается лицам, не являющимся взаимосвязанными с лицами, осуществляющими такую продажу на таможенной территории Союза в тот же или в соответствующий ему период времени, в который поврежденные товары ввезены на таможенную территорию Союза;</w:t>
      </w:r>
    </w:p>
    <w:p>
      <w:pPr>
        <w:spacing w:after="0"/>
        <w:ind w:left="0"/>
        <w:jc w:val="both"/>
      </w:pPr>
      <w:r>
        <w:rPr>
          <w:rFonts w:ascii="Times New Roman"/>
          <w:b w:val="false"/>
          <w:i w:val="false"/>
          <w:color w:val="000000"/>
          <w:sz w:val="28"/>
        </w:rPr>
        <w:t>
      цены единицы товара, по которой наибольшее совокупное количество идентичных или однородных товаров продается лицам, не являющимся взаимосвязанными с лицами, осуществляющими такую продажу на таможенной территории Союза в тот же или в соответствующий ему период времени, в который поврежденные товары ввезены на таможенную территорию Союза, если степень годности, порчи или повреждения идентичных или однородных товаров, продаваемых на таможенной территории Союза, аналогична степени годности, порчи или повреждения ввозимых на таможенную территорию Союза поврежденных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Степень годности, порчи или повреждения товаров определяется путем их внешнего визуального осмотра. Для установления степени годности, порчи или повреждения товаров могут использоваться результаты таможенной или иной экспертизы таких товаров.</w:t>
      </w:r>
    </w:p>
    <w:bookmarkEnd w:id="10"/>
    <w:bookmarkStart w:name="z13" w:id="11"/>
    <w:p>
      <w:pPr>
        <w:spacing w:after="0"/>
        <w:ind w:left="0"/>
        <w:jc w:val="both"/>
      </w:pPr>
      <w:r>
        <w:rPr>
          <w:rFonts w:ascii="Times New Roman"/>
          <w:b w:val="false"/>
          <w:i w:val="false"/>
          <w:color w:val="000000"/>
          <w:sz w:val="28"/>
        </w:rPr>
        <w:t xml:space="preserve">
      8. Таможенная стоимость поврежденных товаров определяется по резервному методу (метод 6), установленному </w:t>
      </w:r>
      <w:r>
        <w:rPr>
          <w:rFonts w:ascii="Times New Roman"/>
          <w:b w:val="false"/>
          <w:i w:val="false"/>
          <w:color w:val="000000"/>
          <w:sz w:val="28"/>
        </w:rPr>
        <w:t>статьей 45</w:t>
      </w:r>
      <w:r>
        <w:rPr>
          <w:rFonts w:ascii="Times New Roman"/>
          <w:b w:val="false"/>
          <w:i w:val="false"/>
          <w:color w:val="000000"/>
          <w:sz w:val="28"/>
        </w:rPr>
        <w:t xml:space="preserve"> Кодекса, на основе данных, имеющихся на таможенной территории Союза, путем использования методов, совместимых с принципами и положениями </w:t>
      </w:r>
      <w:r>
        <w:rPr>
          <w:rFonts w:ascii="Times New Roman"/>
          <w:b w:val="false"/>
          <w:i w:val="false"/>
          <w:color w:val="000000"/>
          <w:sz w:val="28"/>
        </w:rPr>
        <w:t>главы 5</w:t>
      </w:r>
      <w:r>
        <w:rPr>
          <w:rFonts w:ascii="Times New Roman"/>
          <w:b w:val="false"/>
          <w:i w:val="false"/>
          <w:color w:val="000000"/>
          <w:sz w:val="28"/>
        </w:rPr>
        <w:t xml:space="preserve"> Кодекса.</w:t>
      </w:r>
    </w:p>
    <w:bookmarkEnd w:id="11"/>
    <w:p>
      <w:pPr>
        <w:spacing w:after="0"/>
        <w:ind w:left="0"/>
        <w:jc w:val="both"/>
      </w:pPr>
      <w:r>
        <w:rPr>
          <w:rFonts w:ascii="Times New Roman"/>
          <w:b w:val="false"/>
          <w:i w:val="false"/>
          <w:color w:val="000000"/>
          <w:sz w:val="28"/>
        </w:rPr>
        <w:t>
      В частности, таможенная стоимость поврежденных товаров может быть определена по методу 6 путем гибкого применения метода 1. При этом за основу принимается цена, фактически уплаченная или подлежащая уплате за ввозимые товары, предусмотренная внешнеэкономическим договором (контрактом), уменьшенная на одну из следующих величин:</w:t>
      </w:r>
    </w:p>
    <w:p>
      <w:pPr>
        <w:spacing w:after="0"/>
        <w:ind w:left="0"/>
        <w:jc w:val="both"/>
      </w:pPr>
      <w:r>
        <w:rPr>
          <w:rFonts w:ascii="Times New Roman"/>
          <w:b w:val="false"/>
          <w:i w:val="false"/>
          <w:color w:val="000000"/>
          <w:sz w:val="28"/>
        </w:rPr>
        <w:t>
      размер ущерба (убытков), установленный по результатам оценки, проведенной независимой экспертной организацией в соответствии с законодательством государства–члена Союза об оценочной деятельности;</w:t>
      </w:r>
    </w:p>
    <w:p>
      <w:pPr>
        <w:spacing w:after="0"/>
        <w:ind w:left="0"/>
        <w:jc w:val="both"/>
      </w:pPr>
      <w:r>
        <w:rPr>
          <w:rFonts w:ascii="Times New Roman"/>
          <w:b w:val="false"/>
          <w:i w:val="false"/>
          <w:color w:val="000000"/>
          <w:sz w:val="28"/>
        </w:rPr>
        <w:t>
      сумма, полученная от страховой компании или подлежащая выплате страховой компанией в связи с возникновением страхового случая (далее – страховая сумма).</w:t>
      </w:r>
    </w:p>
    <w:p>
      <w:pPr>
        <w:spacing w:after="0"/>
        <w:ind w:left="0"/>
        <w:jc w:val="both"/>
      </w:pPr>
      <w:r>
        <w:rPr>
          <w:rFonts w:ascii="Times New Roman"/>
          <w:b w:val="false"/>
          <w:i w:val="false"/>
          <w:color w:val="000000"/>
          <w:sz w:val="28"/>
        </w:rPr>
        <w:t>
      Следует учитывать, что на размер страховой суммы могут оказывать влияние такие факторы, как чрезмерное страхование (страхование на сумму, превышающую стоимость застрахованных товаров или рациональную оценку потенциальной величины убытков), или неполное (недостаточное) страхование (страхование на сумму меньшую, чем стоимость застрахованных товаров или рациональная оценка потенциальной величины убытков), или договоренность между сторонами. В таких случаях это может привести к несоответствию страховой суммы и фактической суммы убытков, вследствие чего при определении таможенной стоимости поврежденных товаров информация о страховой сумме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Коллегии Евразийской экономической комиссии от 14.01.2020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