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ec9" w14:textId="5ffe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расчета макроэкономических показателей, определяющих устойчивость 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исполнение пункта 4 Протокола о проведении согласованной макроэкономической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прилагаемую Методику расчета макроэкономических показателей, определяющих устойчивость экономического развития государств – членов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г.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г. № 47)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макроэкономических показателей, определяющих</w:t>
      </w:r>
      <w:r>
        <w:br/>
      </w:r>
      <w:r>
        <w:rPr>
          <w:rFonts w:ascii="Times New Roman"/>
          <w:b/>
          <w:i w:val="false"/>
          <w:color w:val="000000"/>
        </w:rPr>
        <w:t>устойчивость экономического развития государств–членов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основой расчета макроэкономических показателей, определяющих устойчивость экономического развития государств – членов Евразийского экономического союза (далее соответственно – показатели, государства-члены), являются Система национальных счетов (2008 год) и рекомендации Международного валютного фонда, изложенные в следующих документах: Руководство по статистике государственных финансов (2014 год), Статистика долга государственного сектора. Руководство для составителей и пользователей (2013 год), Руководство по индексу потребительских цен: теория и практика (2007 год).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Евразийской экономической комиссией (далее – Комиссия) и государствами-членами для расчета в сопоставимых условиях следующих показателей: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дефицит (профицит) консолидированного бюджета сектора государственного управления (в процентах к валовому внутреннему продукту);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долг сектора государственного управления (в процентах к валовому внутреннему продукту);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уровень инфляции (индекс потребительских цен).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понятия, которые означают следующее: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"безусловные долговые обязательства" – денежные требования кредитора к сектору государственного управления по выплате суммы основного долга в установленный срок, которые подлежат неукоснительному исполнению и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займы, осуществляемые путем привлечения кредитов;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займы, осуществляемые путем выпуска ценных бумаг;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безусловные обязательства, отнесенные законодательством государства-члена к долговым;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"внешний долг сектора государственного управления" –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внешним долговым обязательствам, за исключением взаимосвязанных показателей по консолидируемым позициям;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"внутренний долг сектора государственного управления" –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внутренним долговым обязательствам, за исключением взаимосвязанных показателей по консолидируемым позициям;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консолидированного бюджета сектора государственного управления" – превышение расходов консолидированного бюджета сектора государственного управления с учетом операций с нефинансовыми активами над его доходами (превышение доходов консолидированного бюджета сектора государственного управления над его расходами с учетом операций с нефинансовыми активами);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"долг сектора государственного управления" – остаток на конкретную дату признанных и непогашенных безусловных внешних и внутренних долговых обязательств сектора государственного управления, за исключением взаимосвязанных показателей по консолидируемым позициям;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(расходы) консолидированного бюджета сектора государственного управления" – все виды операций, включаемые в консолидированный бюджет сектора государственного управления, которые приводят к увеличению (уменьшению) чистой стоимости активов сектора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"консолидированный бюджет сектора государственного управления" – совокупность бюджетов подсекторов сектора государственного управления,  за исключением взаимосвязанных показателей по консолидируемым позициям;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(резервный) фонд" – часть средств бюджета центральных органов управления, сосредотачиваемых на специализированных счетах и подлежащих обособленному учету и управлению для решения задач, направленных на обеспечение макроэкономической устойчивости и развитие экономики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"операции с нефинансовыми активами" – операции (приобретение за минусом выбытия), приводящие к изменению запасов нефинансовых активов, включающих в себя основные фонды, запасы материальных оборотных средств, ценности и непроизведенные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"операции с финансовыми активами" – операции (приобретение за минусом выбытия), приводящие к изменению запасов финансовых активов, включающих в себя финансовые требования, монетарное золото и специальные права заимствования (СДР), предоставляемые Международным валютным фондом в порядке 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"операции с обязательствами" – операции (принятие за минусом погашения), приводящие к изменению запасов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сектор государственного управления" – органы государственного управления, относящиеся к подсекторам сектора государственного управления: центральное правительство (центральные органы управления и фонд социального обеспечения), региональные органы управления, местные (муниципальные) органы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– органы исполнительной власти государств-членов, в компетенцию которых входят расчет показателей и (или) взаимодействие с Комиссией по вопросам предоставления и получения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"уровень инфляции (индекс потребительских цен)" – изменение во времени общего уровня цен на потребительские товары и услуги, приобретаемые домашними хозяйствами (населением) для непроизводственного потребления, рассчитываемое как отношение стоимости фиксированного набора потребительских товаров и услуг в ценах текущего периода к его стоимости в ценах предыдущего (базисного)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"условные долговые обязательства" – сумма полученных и непогашенных на конкретную дату негосударственных займов, обеспеченных гарантиями и поручительствами сектора государственного управления (если иное не предусмотрено законодательством государств-членов);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"фиксированный набор потребительских товаров и услуг" –перечень репрезентативно отобранных товаров и услуг, потребляемых домашними хозяйствами (населением), с определенными количественными соотношениями составляющих его элементов, не меняющимися в течение заданного периода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"фонд социального обеспечения" – внебюджетная организация, деятельность которой состоит в обеспечении функционирования социальных программ путем предоставления социальных трансфертов (выплат) населению за счет взносов (отчислений) на социальные нужды,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Фонд социальной защиты населения Министерства труда и социальной защиты Республики Беларусь;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акционерное общество "Государственный фонд социального страхования и некоммерческое акционерное общество "Фонд обязательного медицинского страхования";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Социальный фонд Кыргызской Республики, который включает в себя Пенсионный фонд, Государственный накопительный пенсионный фонд, Фонд обязательного медицинского страхования при Министерстве здравоохранения Кыргызской Республики и Фонд оздоровления трудящихся;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Фонд пенсионного и социального страхования Российской Федерации, Федеральный фонд обязательного медицинского страхования, территориальные фонды обязательного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Дефицит (профицит) консолидированного бюджета сектора государственного управления рассчитывается по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</w:t>
      </w:r>
      <w:r>
        <w:rPr>
          <w:rFonts w:ascii="Times New Roman"/>
          <w:b w:val="false"/>
          <w:i w:val="false"/>
          <w:color w:val="000000"/>
          <w:vertAlign w:val="subscript"/>
        </w:rPr>
        <w:t>НФА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дефицит (профицит) консолидированного бюджета сектора государственного управления за отчетный период, измеренный в единицах национальной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доходы консолидированного бюджета сектора государственного управления за отчетный период, измеренные в единицах национальной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консолидированного бюджета сектора государственного управления за отчетный период, измеренные в единицах национальной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НФА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операции с нефинансовыми активами консолидированного бюджета сектора государственного управления за отчетный период, измеренные в единицах национальной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дефицита (профицита) консолидированного бюджета сектора государственного управления в процентах к валовому внутреннему продукту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(%) =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/ ВВП х 100 %,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КБ </w:t>
      </w:r>
      <w:r>
        <w:rPr>
          <w:rFonts w:ascii="Times New Roman"/>
          <w:b w:val="false"/>
          <w:i w:val="false"/>
          <w:color w:val="000000"/>
          <w:sz w:val="28"/>
        </w:rPr>
        <w:t>(%) – дефицит (профицит) консолидированного бюджета сектора государственного управления в процентах к валовому внутреннему продукту;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дефицит (профицит) консолидированного бюджета сектора государственного управления за отчетный период, измеренный в единицах национальной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объем валового внутреннего продукта за отчетный период, измеренный в единицах национальной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самостоятельно рассчитывает показатель дефицита (профицита) консолидированного бюджета сектора государственного управления в процентах к валовому внутреннему продукту на основе предоставляемой уполномоченным органом в Комиссию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Долг сектора государственного управления рассчитывается по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 xml:space="preserve"> + Д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Д</w:t>
      </w:r>
      <w:r>
        <w:rPr>
          <w:rFonts w:ascii="Times New Roman"/>
          <w:b w:val="false"/>
          <w:i w:val="false"/>
          <w:color w:val="000000"/>
          <w:vertAlign w:val="subscript"/>
        </w:rPr>
        <w:t>МОУ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127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сектора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центральных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региональных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МОУ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 местных (муниципальных) органов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127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 – взаимосвязанные показатели по консолидируемым позициям.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состоит из внешнего и внутреннего долга сектора государственного управления, выраженного в иностранной валюте (эквивалент объема долговых обязательств, выраженный в долларах США) и национальной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долга сектора государственного управления не включаются условные долговые обязательства сектора государственного управления и долговые обязательства органов денежно-кредитного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долга сектора государственного управления определяется по номинальной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долга сектора государственного управления в процентах к валовому внутреннему продукту рассчитывается как отношение суммы номинального объема долга сектора государственного управления (внешнего и внутреннего), выраженного в иностранной валюте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на конец отчетного периода, и номинального объема долга сектора государственного управления (внешнего и внутреннего), выраженного в национальной валюте на конец отчетного периода, к объему валового внутреннего продукта: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(%) – долг сектора государственного управления в процентах к валовому внутреннему продукту;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</w:t>
      </w:r>
      <w:r>
        <w:rPr>
          <w:rFonts w:ascii="Times New Roman"/>
          <w:b w:val="false"/>
          <w:i w:val="false"/>
          <w:color w:val="000000"/>
          <w:vertAlign w:val="subscript"/>
        </w:rPr>
        <w:t>’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внешнего долга сектора государственного управления в единицах иностранной валюты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государства-члена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внешнего долга сектора государственного управления в единицах национальной валюты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</w:t>
      </w:r>
      <w:r>
        <w:rPr>
          <w:rFonts w:ascii="Times New Roman"/>
          <w:b w:val="false"/>
          <w:i w:val="false"/>
          <w:color w:val="000000"/>
          <w:sz w:val="28"/>
        </w:rPr>
        <w:t>’ – объем внутреннего долга сектора государственного управления в единицах иностранной валюты (эквивалент объема долговых обязательств, выраженный в долларах США) на конец отчетного периода, пересчитанного в национальную валюту по официальному курсу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внутреннего долга сектора государственного управления в единицах национальной валюты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объем валового внутреннего продукта в единицах национальной валюты в текущих ценах. Для расчета показателя долга сектора государственного управления в процентах к валовому внутреннему продукту на конец отчетного года используется годовой объем валового внутреннего продукта. Для расчета показателя долга сектора государственного управления в процентах к валовому внутреннему продукту на конец отчетного квартала используется совокупный объем валового внутреннего продукта за 4 квартала, включая объем валового внутреннего продукта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самостоятельно рассчитывает показатель долга сектора государственного управления в процентах к валовому внутреннему продукту на основе предоставляемой уполномоченным органом в Комиссию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Коллегии Евразийской экономической комиссии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уровня инфляции (индекса потребительских цен) в годовом выражении измеряется как процентное отношение стоимости фиксированного набора потребительских товаров и услуг в ценах декабря анализируемого года к его стоимости в ценах декабря предыдущего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квартального мониторинга уровня инфляции (индекса потребительских цен) используется показатель, измеренный в годовом выражении как процентное отношение стоимости фиксированного набора потребительских товаров и услуг в ценах последнего месяца квартала текущего года к его стоимости в ценах аналогичного месяца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уровня инфляции (индекса потребительских цен) производится государствами-членами в соответствии с национальной методологией.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уровня инфляции (индекса потребительских цен) допускаются различия в фиксированном наборе потребительских товаров и услуг, а также в долях (весах) потребления в общем объеме фиксированного набора потребительских товаров и услуг исходя из национальных особенностей потребления товаров и услуг домашними хозяйствами (населением) в государствах-членах.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с учетом положений пунктов 4 – 6 настоящей Методики предоставляют в Комиссию информацию по показателям согласно приложению, а также в соответствии со следующими форматами, утверждаемыми Комиссией: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консолидированного бюджета сектора государственного управления – форматы F12.01.01 и F12.01.04 "Бюджет сектора государственного управления (по методологии Международного валютного фонда, кассовым методом)";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– форматы F12.10.01 и F12.10.04 "Долговые обязательства государства";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цен) – формат F11.07.12 "Индексы потребительских цен";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– форматы F01.02.01 "Валовой внутренний продукт и образование доходов по видам экономической деятельности" и F01.07.04 "Валовой внутренний продукт".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уполномоченными органами в Комиссию указанной информации осуществляется в соответствии с Протоколом о порядке формирования и распространения официальной статистической информации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30.07.2024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 90)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показателей, используемых для расчета макроэкономических показателей, определяющих устойчивость экономического развития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Коллегии Евразийской экономической комиссии от 30.07.2024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Операции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Платежи на обслуживание долга центральных органов управления, выплачиваемые из бюджета центральных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Операции с нефинансовыми активами бюджета центральных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 центральных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Доходы бюджета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Расходы бюджета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Платежи на обслуживание долга региональных органов управления, выплачиваемые из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Операции с нефинансовыми активами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Дефицит (профицит) бюджета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Доходы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Расходы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Платежи на обслуживание долга местных (муниципальных) органов управления, выплачиваемые из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Операции с нефинансовыми активами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Дефицит (профицит) бюджета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Доходы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Расходы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Операции с нефинансовыми активами бюджета фонда социального обеспечения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Дефицит (профицит) бюджета фонда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Доходы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Расходы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Платежи на обслуживание долга сектора государственного управления, выплачиваемые из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Операции с нефинансовыми активами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Дефицит (профицит) консолидированного бюджета сектора государственного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Средства национального (резервного) фонда на начало отчетного периода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Поступления в национальный (резервный) фонд в отчетном периоде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Использование национального (резервного) фонда в отчетном периоде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Средства национального (резервного) фонда на конец отчетного периода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Операции с финансовыми активами и обязательствами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Внутренние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Акции и другие формы участия в капитале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Прочая дебиторская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Внешние финансовые активы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Акции и другие формы участия в капитале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Прочая дебиторская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Монетарное золото и СДР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Внутренние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Валюта и депозиты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Прочая кредиторская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Внешние обязательства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Валюта и депозиты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Ценные бумаги, кроме акций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Кредиты и займы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Прочая кредиторская задолженность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Долг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Долг центрального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Внешний долг центрального правительства 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Внешний долг центрального правительства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Внутренний долг центрального правительства (в миллионах единиц иностранной валюты (эквивалент объема долговых обязательств, выраженный в долларах США)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Внутренний долг центрального правительства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Условные долговые обязательства центрального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Долг региональных органов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Внешний долг региональных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Внешний долг региональных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Внутренний долг региональных органов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Внутренний долг региональных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Условные долговые обязательства региональных органов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Долг местных (муниципальных) органов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Внешний долг местных (муниципальных)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Внешний долг местных (муниципальных) органов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Внутренний долг местных (муниципальных) органов управления (в миллионах единиц иностранной валюты ((эквивалент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Внутренний долг местных (муниципальных) органов управления 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Условные долговые обязательства местных (муниципальных) органов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Долг сектора государственного управления, за исключением взаимосвязанных показателей по консолидируемым позициям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Внешний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Внешний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Внутренний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иностранной валюты (эквивалент объема долговых обязательств, выраженный в долларах США))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Внутренний долг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миллионах единиц национальной валюты)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Условные долговые обязательства сектора государственного управления (в миллионах единиц национальной валюты)**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Классификационные коды, используемые в соответствии с Руководством по статистике государственных финансов (МВФ, 2014 год) для идентификации видов операций, других экономических потоков и позиций по запасам активов и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Информация предоставляется в аналитических целях.".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