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6b30" w14:textId="d13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2013 год и на период 2014 – 2016 годов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 – членов Таможенного союза и Единого экономического пространства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 – членов Таможенного союза и Единого экономического пространства, утвержденного Решением Коллегии Евразийской экономической комиссии от 11 декабря 2012 г. № 269, Коллегия Евразийской экономической комиссии решила: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 на 2013 год и на период 2014 – 2016 годов интервальные количественные значения внешних параметров, используемые при разработке официальных прогнозов социально-экономического развития государств – членов Таможенного союза и Единого экономического пространства,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 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г. № 134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параметров,</w:t>
      </w:r>
      <w:r>
        <w:br/>
      </w:r>
      <w:r>
        <w:rPr>
          <w:rFonts w:ascii="Times New Roman"/>
          <w:b/>
          <w:i w:val="false"/>
          <w:color w:val="000000"/>
        </w:rPr>
        <w:t>
используемые при разработке официальных прогнозов</w:t>
      </w:r>
      <w:r>
        <w:br/>
      </w:r>
      <w:r>
        <w:rPr>
          <w:rFonts w:ascii="Times New Roman"/>
          <w:b/>
          <w:i w:val="false"/>
          <w:color w:val="000000"/>
        </w:rPr>
        <w:t>
социально-экономического развития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пространства,</w:t>
      </w:r>
      <w:r>
        <w:br/>
      </w:r>
      <w:r>
        <w:rPr>
          <w:rFonts w:ascii="Times New Roman"/>
          <w:b/>
          <w:i w:val="false"/>
          <w:color w:val="000000"/>
        </w:rPr>
        <w:t>
на 2013 год и на период 2014 – 2016 годов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4"/>
        <w:gridCol w:w="2826"/>
        <w:gridCol w:w="2229"/>
        <w:gridCol w:w="2437"/>
        <w:gridCol w:w="2230"/>
        <w:gridCol w:w="2624"/>
      </w:tblGrid>
      <w:tr>
        <w:trPr>
          <w:trHeight w:val="285" w:hRule="atLeast"/>
        </w:trPr>
        <w:tc>
          <w:tcPr>
            <w:tcW w:w="6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Интервальные количественные значения внешних параметров прогноза темпов развития мировой экономики (расчет по паритету покупательной способности)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к предыдущему году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– 3,5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 – 4,2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– 4,6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– 4,7</w:t>
            </w:r>
          </w:p>
        </w:tc>
      </w:tr>
      <w:tr>
        <w:trPr>
          <w:trHeight w:val="22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Интервальные количественные значения внешних параметров прогноза цен на нефть марки Brent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США за баррель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 – 114,5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 – 113,6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89,8 – 114,4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89,6 – 114,2</w:t>
            </w:r>
          </w:p>
        </w:tc>
      </w:tr>
      <w:tr>
        <w:trPr>
          <w:trHeight w:val="124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Интервальные количественные значения прогнозов изменения белорусского рубля к доллару США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(-4,8) – 12,3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– 6,5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– 5,0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– 3,8 </w:t>
            </w:r>
          </w:p>
        </w:tc>
      </w:tr>
      <w:tr>
        <w:trPr>
          <w:trHeight w:val="124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Интервальные количественные значения прогнозов изменения тенге к доллару США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(-4,9) – 5,9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(-3,7) – 7,5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(-1,5) – 9,9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(-2,5) – 8,7 </w:t>
            </w:r>
          </w:p>
        </w:tc>
      </w:tr>
      <w:tr>
        <w:trPr>
          <w:trHeight w:val="124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Интервальные количественные значения прогнозов изменения российского рубля к доллару США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 среднем за год к предыдущему году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(-4,7) – 5,3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(-2,9) – 7,3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(-0,3) – 10,2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(-1,6) – 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