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58d8" w14:textId="1ac5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требованиях к осуществлению деятельности на финансовых рынках государств–участников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июня 2013 года № 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Приложения V к Соглашению о торговле услугами и инвестициях в государствах–участниках Единого экономического пространства от 9 декабря 2010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требованиях к осуществлению деятельности на финансовых рынках государств–участников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государства–члены Таможенного союза и Единого экономического пространства провести внутригосударственное согласование проекта Соглашения, указанного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требованиях к осуществлению деятельности на финансовых рынках государств–участников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Беларусь и Национальный банк Республики Беларусь, Правительство Республики Казахстан и Национальный банк Республики Казахстан, Правительство Российской Федерации и Центральный банк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торговле услугами и инвестициях в государствах–участниках Единого экономического пространства от 9 декабря 2010 года (</w:t>
      </w:r>
      <w:r>
        <w:rPr>
          <w:rFonts w:ascii="Times New Roman"/>
          <w:b w:val="false"/>
          <w:i w:val="false"/>
          <w:color w:val="000000"/>
          <w:sz w:val="28"/>
        </w:rPr>
        <w:t>Приложение V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 финансовым услугам»),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условий на финансовых рынках для обеспечения свободного движения капитала от 9 декабря 2010 года, а также положений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Сторон в создании единого финансового рынка государств–членов Таможенного союза и Единого экономического пространства, взаимном признании лицензий и обеспечении недискриминационного доступа на финансовые рынки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совершенствования государственного регулирования и осуществления контроля и надзора на финансовом рынке,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гармонизации законодательства государств Сторон в финансовой сфере,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Предмет Соглашения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определяет направления, порядок и сроки гармонизации законодательства государств Сторон в финансовой сфере (в банковской сфере, на рынке ценных бумаг, в сфере страхования),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гармонизации подходов к регулированию рисков в финансовой сфере в соответствии с международными стандартами;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гармонизации требований по раскрытию информации в финансовой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гармонизации надзорных требований и порядка осуществления надзора за участниками финансового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единых требований по защите прав и интересов потребителей финансовых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принятию согласованных требований к участникам финансовых рынков в отношении их учреждения и деятельности в финансовой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обеспечению условий для взаимного признания лицензий.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Определения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Понятия, применяемые в настоящем Соглашении, используются в значениях, установленных международными договорами между государствами Сторон.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Меры, принимаемые Сторонами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принимают согласованные меры по гармонизации законодательства в финансовой сфере, которые обеспечивают исполнение Сторонами положений Соглашения о торговле услугами и инвестициях в государствах–участниках Единого экономического пространства от 9 декабря 2010 года (</w:t>
      </w:r>
      <w:r>
        <w:rPr>
          <w:rFonts w:ascii="Times New Roman"/>
          <w:b w:val="false"/>
          <w:i w:val="false"/>
          <w:color w:val="000000"/>
          <w:sz w:val="28"/>
        </w:rPr>
        <w:t>Приложение V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 финансовым услугам»), </w:t>
      </w:r>
      <w:r>
        <w:rPr>
          <w:rFonts w:ascii="Times New Roman"/>
          <w:b w:val="false"/>
          <w:i w:val="false"/>
          <w:color w:val="000000"/>
          <w:sz w:val="28"/>
        </w:rPr>
        <w:t>статей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создании условий на финансовых рынках для обеспечения свободного движения капитала от 9 декабря 2010 года.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Меры по гармонизации законодательства государств Сторон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гармонизации законодательства в финансовой сфере Стороны будут принимать меры,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по подготовке проектов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меры, которые Стороны сочтут целесообразными и возможными для реализации мер по гармонизации законодательства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принимают решения о том, какие нормативные правовые акты государств Сторон подлежат сближению с учетом целей настоящего Соглашения, устанавливают последовательность реализации мер по гармонизации законодательства в финансовой сфере в порядке, установленном статьей 7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решения могут предусматривать принятие мер по гармонизации законодательства как в отношении конкретных актов, действующих на территориях государств Сторон, так и в отношении правового регулирования в банковской сфере, на рынке ценных бумаг, в сфере страхования.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Направления гармонизации законодательства государств Сторон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Реализация мероприятий по гармонизации законодательства государств Сторон в финансовой сфере осуществляется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гармонизация банковского законодательства государств Сторон, в том числе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понятия «кредитная организация» и ее юридического статуса;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порядка и условий раскрытия информации кредитными организациями, банковскими группами и их аффилированными лицами, банковскими холдингами;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правил бухгалтерского учета и осуществления аудиторских проверок, установленных в соответствии с Международными стандартами финансовой отчетности для всех видов деятельности, включая банковский сектор, и требований по проведению аудита финансовой (бухгалтерской) отчетности в соответствии с Международными стандартами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порядка и условий создания кредитной организации, в частности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требований к учредительным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порядка государственной регистрации юридического лица (филиала) и государственной регистрации кредитной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минимального размера уставного капитала кредитной организации, порядка его формирования и способов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требований в отношении профессиональной квалификации и деловой репутации руководящих работников кредитной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порядка и условий выдачи лицензии на осуществление банковских операций, в том числе в отношении требований к документам, необходимым для получения лицензии на осуществление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оснований для отказа в национальной регистрации кредитной организации и выдаче ей лицензии на осуществление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порядка, процедуры и условий ликвидации или реорганизации кредитной организации (в том числе принудительной ликвидации);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оснований для отзыва у кредитной организации лицензии на осуществление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порядка и особенностей реорганизации кредитных организаций в форме слияния, присоединения 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обеспечения финансовой надежности кредитной организации, в том числе определения иных помимо банковских операций видов деятельности, разрешенных для кредитных организаций, пруденциальных нормативов, обязательных резервов и специальных провизий;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порядка осуществления компетентными органами каждой из Сторон надзора за деятельностью кредитных организаций, банковских холдингов и банковских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порядка применения, условий и размеров санкций к кредитным организациям и банковским холдингам;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требований к деятельности и обеспечению финансовой надежности банковских групп и банковских холдингов;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н) создания и функционирования системы страхования вкладов населения (включая суммы выплат возмещения по вкладам);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о) процедур финансового оздоровления и банкротства кредитных организаций (включая регламентирование прав кредиторов, очередность удовлетворения требований);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п) перечня операций, признаваемых банковскими;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р) перечня и статуса организаций, которые вправе осуществлять отдельные технологические части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гармонизация законодательства государств Сторон в сфере страхования, в том числе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понятия «профессиональный участник страхового рынка» и его юридического статуса;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финансовой устойчивости профессионального участника страхового рынка, в том числе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страховых резервов, достаточных для исполнения обязательств по страхованию, сострахованию, перестрахованию, взаимному страхованию;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состава и структуры активов, принимаемых для покрытия страховых резервов;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минимального уровня и порядка формирования уставного и собственного капиталов;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условий и порядка передачи страхового портфеля;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бухгалтерского учета и осуществления аудиторских проверок, установленных в соответствии с Международными стандартами финансовой отчетности для страхового сектора, и требований по проведению аудита финансовой (бухгалтерской) отчетности в соответствии с Международными стандартами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порядка и условий создания и лицензирования страховой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порядка осуществления компетентными органами каждой из Сторон надзора за деятельностью профессионального участника страхового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порядка применения, условий и размеров санкций за нарушения профессиональными участниками страхового рынка порядка осуществления деятельности на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требований в отношении профессиональной квалификации и деловой репутации руководящих работников профессиональных участников страхового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отказа в выдаче лицензии на осуществление страховой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порядка, процедуры и условий ликвидации или реорганизации профессионального участника страхового рынка (в том числе принудительной ликвидации (банкротства));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отзыва у профессионального участника страхового рынка лицензии на осуществление страховой деятельности, а также аннулирования, ограничения или приостановления действия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порядка и особенностей реорганизации профессионального участника страхового рынка в форме слияния, присоединения 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требований к составу страховых групп и страховых холдингов и их финансовой надежности;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гармонизация законодательства государств Сторон в сфере рынка ценных бумаг, в том числе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порядка формирования и оплаты уставного капитала, а также требований к достаточности собственного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порядка и условий выдачи лицензии на осуществление деятельности на рынке ценных бумаг, в том числе в отношении требований к документам, необходимым для получения лицензии на осуществление деятельности на рынке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требований в отношении профессиональной квалификации и деловой репутации руководящих работников профессиональных участников рынка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отказа в выдаче лицензии на осуществление деятельности на рынке ценных бумаг, а также аннулирования, ограничения или приостановления действия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бухгалтерского учета и осуществления аудиторских проверок, установленных в соответствии с Международными стандартами финансовой отчетности для всех видов деятельности на рынке ценных бумаг, и требований по проведению аудита финансовой (бухгалтерской) отчетности в соответствии с Международными стандартами аудита, а также организации внутреннего учета и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порядка, процедуры и условий ликвидации или реорганизации профессионального участника рынка ценных бумаг (в том числе принудительной ликвидации);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отзыва у профессионального участника рынка ценных бумаг лицензии на осуществление деятельности на рынке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порядка, условий и размеров административных санкций за нарушения профессиональными участниками рынка ценных бумаг порядка осуществления деятельности на финансовом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порядка осуществления компетентными органами каждой из Сторон надзора за деятельностью субъектов (участников) рынка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требований и условий, предъявляемых к деятельности профессиональных участников рынка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в процессе гармонизации законодательства своих государств в финансовой сфере руководствуются основополагающими принципами эффективного банковского надзора Базельского комитета по банковскому надзору, основополагающими принципами эффективного страхового надзора(IAIS), основополагающими принципами эффективного надзора за субъектами рынка ценных бумаг IOSCO, OECD и наилучшей международной практикой, как это определено пунктами </w:t>
      </w:r>
      <w:r>
        <w:rPr>
          <w:rFonts w:ascii="Times New Roman"/>
          <w:b w:val="false"/>
          <w:i w:val="false"/>
          <w:color w:val="000000"/>
          <w:sz w:val="28"/>
        </w:rPr>
        <w:t>2.1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2.2.1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2.3.2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Приложения V к Соглашению о торговле услугами и инвестициях в государствах–участниках Единого экономического пространства от 9 декабря 2010 года.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Порядок и сроки гармонизации законодательства государств Сторон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к 31 декабря 2015 года согласовывают требования по гармонизации норм законодательства своих государств в финансовой сфере в части использования единой терминологии и вопросов краткосрочной перспективы, в том числе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основных понятий, применяемых в законодательстве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понятий «участник финансового рынка» и «организационно-правовая форма участников финансового рынка»;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требований к профессиональной квалификации и деловой репутации руководящих работников участников финансового рынка, а также к отдельным участникам финансового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требований к эмитенту ценных бумаг и к ценным бумагам, допускаемым к торгам у организатора торгов, в том числе к квалификации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требований к раскрытию информации об эмитенте и его ценных бумагах, которые размещаются и (или) обращаются на организованном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требований к участнику торгов, предъявляемых в соответствии с законодательством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требований по защите прав и интересов потребителей финансовых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к 2015 году создадут наднациональный орган по регулированию финансового рынка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к 31 декабря 2017 года согласовывают требования по гармонизации норм законодательства государств Сторон, предусматривающие гармонизацию лицензионных требований, предъявляемых к участникам финансового рынка, обеспечение возможности размещения и обращения ценных бумаг эмитентов Сторон на всей территории Таможенного союза и Единого экономического пространства при условии регистрации эмиссии (выпуска) ценных бумаг регулирующим органом государства регистрации эмитента, и требования по вопросам среднесрочной перспективы, в том числе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порядка и условий создания участников финансового рынка, включая требования к учредительным документам, требований, касающихся финансового положения учредителей (участников, акционеров) и достаточности у них собственных средств для оплаты уставного капитала, раскрытия учредителями в полном объеме информации о структуре своей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порядка и условий выдачи или отказа в выдаче лицензий участникам финансового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отзыва у участника финансового рынка лицензии на осуществление деятельности на финансовом рынке, ограничения или приостановления ее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требований, предъявляемых к деятельности участников финансового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требований к финансовой устойчивости и достаточности собственного (уставного) капитала участника финансового рынка (пруденциальных требований);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порядка и условий раскрытия информации участниками финансового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требований, направленных на противодействие легализации (отмыванию) доходов, полученных преступным путем, и финансированию терроризма.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Стороны к 31 декабря 2019 года согласовывают требования по гармонизации норм законодательства государств Сторон в отношении порядка осуществления надзора за участниками финансового рынка и по вопросам долгосрочной перспективы, в том числе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порядка осуществления компетентными органами каждой из Сторон надзора за деятельностью участников финансового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порядка, процедуры и условий ликвидации или реорганизации участников финансового рынка (в том числе принудительной ликвидации (банкротства))в форме слияния, присоединения и преобразования;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порядка и условий применения санкций и иных мер воздействия за нарушения участниками финансового рынка порядка осуществления деятельности на финансовом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видов (перечня) правонарушений на финансовом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бухгалтерского учета и осуществления аудиторских проверок, установленных в соответствии с Международными стандартами финансовой отчетности для участников финансового рынка, и требований по проведению аудита финансовой (бухгалтерской) отчетности в соответствии с Международными стандартами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Стороны завершают процесс гармонизации норм законодательства своих государств в финансовой сфере в соответствии с направлениями и сроками, предусмотренными в статье 5 и в статье 6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конкретных требований по осуществлению деятельности на финансовом рынке государств Сторон должна осуществляться при условии, что сохраняющиеся различия не будут препятствовать эффективному функционированию единого финансового рынка Таможенного союза и Единого экономического пространства.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Взаимодействие Сторон с Евразийской экономической комиссией по исполнению Соглашения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совместно с Евразийской экономической комиссией разрабатывают план по гармонизации законодательства государств Сторон в соответствии со статьей 6 настоящего Соглашения, который утверждается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Евразийская экономическая комиссия совместно со Сторонами разрабатывает в соответствии с пунктами плана по гармонизации законодательства государств Сторон предложения по внесению изменений в законодательство и нормативные правовые акты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Согласованные предложения по гармонизации законодательства государств Сторон по окончании каждого из этапов, установленных в статье 6 настоящего Соглашения, утверждаются решениями Совета Евразийской экономической комиссии и подлежат имплементации в законодательство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Евразийская экономическая комиссия осуществляет мониторинг исполнения плана по гармонизации законодательства государств Сторон и представляет отчет о его исполнении на рассмотрение Совета Евразийской экономической комиссии. 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Внесение изменений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изменения, которые оформляются отдельными протоколами.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 Решение спорных вопросов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 с участием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6 месяцев с даты получения официальной письменной просьбы о проведении консультаций и переговоров, направленной одной стороной спора другой стороне спора, любая из сторон спора может передать его для рассмотрения в Суд Евразийского экономического сообщества.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10. Вступление в силу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календарных дней с даты получения депозитарием, которым является Евразийская экономическая комиссия,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 "__" ____________ 2013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хранится у депозитария, который направит каждой Стороне его заверенную копию.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5"/>
        <w:gridCol w:w="6365"/>
      </w:tblGrid>
      <w:tr>
        <w:trPr>
          <w:trHeight w:val="30" w:hRule="atLeast"/>
        </w:trPr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Национальный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 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Центральный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