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da7a" w14:textId="b65d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"Об основных ориентирах макроэкономической политики государств – членов Таможенного союза и Единого экономического пространства на 2013 –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согласованной макроэкономической политике от 9 декабря 2010 года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«Об основных ориентирах макроэкономической политики государств – членов Таможенного союза и Единого экономического пространства на 2013 – 2014 годы» (прилагается) и внести его для рассмотрения на очередном заседании Совета Евразийской экономической комиссии.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проекте решения Высшего Евразийского экономического совета «Об основных ориентирах макроэкономической политики государств – членов Таможенного союза и Единого экономического пространства на 2013 – 2014 годы»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согласованной макроэкономической политике от 9 декабря 2010 года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Одобрить разработанный по согласованию с государствами – членами Таможенного союза и Единого экономического пространства проект решения Высшего Евразийского экономического совета «Об основных ориентирах макроэкономической политики государств – членов Таможенного союза и Единого экономического пространствана 2013–2014 годы» (прилагается) и внести его для рассмотрения на очередном заседании Высшего Евразийского экономического совета на уровне глав государств.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4093"/>
        <w:gridCol w:w="3953"/>
      </w:tblGrid>
      <w:tr>
        <w:trPr>
          <w:trHeight w:val="27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27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основных ориентирах макроэкономической политики 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 на 2013 – 2014 годы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основные ориентиры макроэкономической политики государств – членов Таможенного союза и Единого экономического пространства на 2013–2014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правительствам государств – членов Таможенного союза и Единого экономического пространства учитывать при проведении макроэкономической политики одобренные настоящим Решением основные ориентиры макроэкономической политики государств – членов Таможенного союза и Единого экономического пространства на 2013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проводить мониторинг мер, предпринимаемых государствами – членами Таможенного союза и Единого экономического пространства в области макроэкономической политики, и оценивать соответствие таких мер одобренным настоящим Решением основным ориентирам макроэкономической политики государств – членов Таможенного союза и Единого экономического пространства на 2013 – 2014 годы.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4172"/>
        <w:gridCol w:w="403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27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г. № ___  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ОРИЕНТИРЫ</w:t>
      </w:r>
      <w:r>
        <w:br/>
      </w:r>
      <w:r>
        <w:rPr>
          <w:rFonts w:ascii="Times New Roman"/>
          <w:b/>
          <w:i w:val="false"/>
          <w:color w:val="000000"/>
        </w:rPr>
        <w:t>
макроэкономической политики государств – членов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Единого экономического пространства на 2013 – 2014 годы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ориентиры макроэкономической политики государств – членов Таможенного союза и Единого экономического пространства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государства-члены) на 2013 – 2014 годы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согласованной макроэкономической политике от 9 декабря 2010 года (далее – Соглашение) и определяют кратко- и среднесрочные ориентиры, направленные на решение задач, наиболее остро стоящих перед экономиками государств-членов, а также на минимизацию влияния негативных факторов на их устойчивое экономическое развитие и реализацию положительного экономического эффекта функционирования Единого экономического пространства.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Итоги анализа социально-экономического развития государств-членов в 2012 году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экономик государств-членов происходит в условиях достаточно сложной ситуации в мировой экономике. Прирост валового внутреннего продукта (ВВП) в 2012 году в целом по Таможенному союзу и Единому экономическому пространству составил 3,5 %, тогда как мировой валовый внутренний продукт увеличился на 3,2 % (по оценкам Международного валютного фонда), в том числе в странах ОЭСР – на 1,4 %, в США – на 2,3 %, в странах зоны евро – снизился на 0,4 %.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существенного замедления роста мировой торговли до 2,8 % темпы прироста взаимной торговли в рамках Таможенного союза и Единого экономического пространства за счет снятия внутренних барьеров составили в 2012 году 8,7 % при росте торговли с третьими странами на 3,2 %. В частности, отмечается динамичный рост взаимной торговли машинами, оборудованием и транспортными средствами, а также продовольственными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экономический рост государств-членов пока является неустойчивым. В целом по Таможенному союзу и Единому экономическому пространству отмечается замедление темпов прироста ВВП до 3,5 %, объемов производства промышленной продукции – до 2,5 %, перевозок грузов – до 5,2 % (в Республике Беларусь – снижение на 2,3 %), инвестиций в основной капитал – до 5,8 % (в Республике Беларусь – снижение на 9,8 %), а также снижение объемов производства сельскохозяйственной продукции на 5,6 %, связанное с неблагоприятными погодными условиями (в Республике Беларусь – рост на 6,1 %).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темпов экономического роста в зоне евро, замедление темпов прироста экономик Китая и США привели к ослаблению внешнего спроса и, как следствие, к замедлению темпов прироста экспорта государств-членов до 2,6 %. На снижение физических объемов экспорта газа в Казахстане на 8,8 % и в России на 8,7 % помимо снижения спроса в странах-импортерах также повлияло развитие новых технологий добычи сланцевого газа и производства сжиженного газа, которые начинают применяться все более активно.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развитие товарной структуры экспорта государств-членов (доля минеральных продуктов составляет 72,4 % общего объема экспорта Таможенного союза и Единого экономического пространства, в том числе в Беларуси – 55,9 %, в Казахстане – 77,9 %, в России – 72,4 %) и географической структуры экспорта государств-членов (на долю Европейского союза, Китая, государств – участников СНГ, США и Японии приходится около 80 % объема внешней торговли Таможенного союза и Единого экономического пространства) повышает имеющуюся зависимость национальных экономик от конъюнктуры внешних рынков и темпов экономического развития государств – основных торговых партнеров.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доли экспорта продукции обрабатывающих отраслей имеет тенденцию к снижению и находится в Беларуси на уровне 47,8 %, в Казахстане – 18,6 % и России – 38,4 % в общем объеме экспорта. Одновременно доля продукции обрабатывающих отраслей в импорте государств-членов остается достаточно высокой. Около трети импорта каждого из государств-членов составляют машины и оборудование, примерно пятая часть приходится на средства наземного транспорта и около 16 % – на продукцию химической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Устойчивость национальных экономик и бюджетная стабильность обеспечиваются в основном за счет нефтегазового сектора. При профиците консолидированного бюджета Республики Казахстан в размере 8,5 % ВВП ненефтегазовый дефицит в 2012 году составил 7,2 % ВВП. Ненефтегазовый дефицит консолидированного бюджета Российской Федерации составил 10,6 % ВВП за тот же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более точной оценки перспектив устойчивого развития экономик государств-членов в кратко- и среднесрочном периодах необходим анализ внешних рисков и внутренних ограничений, учет которых при проведении национальных экономических политик позволит снизить их негативное влияние на экономики государств-членов.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Основные внешние риски и внутренние ограничения для устойчивого развития экономик государств-членов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условиях повышения открытости экономик государств-членов и более тесной их интеграции в мировые рынки товаров и капитала увеличивается влияние внешних факторов на экономическое развитие.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Снижение внешнего спроса на продукцию государств-членов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2013 год прогнозируется сохранение слабого роста мировой экономики. Важным негативным аспектом, влияющим на устойчивое развитие государств-членов, является замедление темпов роста экономик основных торговых партнеров – стран Европейского союза, а также Китая и США. Риск стагнации в глобальной экономике порождает сокращение спроса и ужесточение конкуренции на рынках сбыта основных экспортных товаров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предложения газового топлива и развитие новых технологий его добычи и производства могут приводить к изменению конфигурации сырьевых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факторы в совокупности создают риски стагнации экспорта товаров государств-членов, снижения доходов экспортеров и, соответственно, ресурсов, направляемых на развитие экономики.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Снижение мировых цен на энергоносители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Сохраняется высокая зависимость экономик государств-членов от конъюнктуры цен на мировых рынках энергоносителей в связи со значительной долей минеральных продуктов в общем объеме экспорта из Таможенного союза и Единого экономического пространства в третьи страны. Падение мировых цен на нефть и природный газ приведет к сокращению притока денежных средств в экономику, падению соответствующих доходов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Накопленные финансовые резервы в Республике Казахстан и Российской Федерации позволяют смягчить негативное воздействие на экономику от падения цен на энергоносители, но не дают возможность полностью нивелировать риск макроэкономической нестабильности. Данный риск в Российской Федерации оказывает, в свою очередь, большое влияние на перспективы устойчивого развития Республики Беларусь ввиду тесных экономических связей между этими государствами.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Нарастание дисбалансов в мировой финансовой системе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Накопленная избыточная ликвидность в мировой финансовой системе, с одной стороны, и ожидаемый рост регулятивного вмешательства государств, с другой стороны, создают условия для высокой изменчивости потоков капитала. Кроме того, складываются условия для проведения некоторыми государствами политики количественного смягчения, нацеленной в отдельных случаях на ослабление курсов их национальных валют с целью получения дополнительных преимуществ во внешнеторговой деятельности, что негативно скажется на конкурентоспособности продукции государств-членов.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Внутренние ограничения устойчивого экономического роста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государствах-членах особо актуален вопрос создания новых моделей экономического роста за счет структурных преобразований и использования преимуществ формирующегося нового технологического уклада.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модернизации экономики возможно при устранении внутренних ограничений роста. К таким ограничениям относятся, в частности, невысокая производительность труда, низкая конкурентоспособность производимой продукции, недостаточное развитие финансового сектора и использование внутренних источников инвестиций, не отвечающие потребностям экономик, неразвитая географическая структура экспорта, высокий физический и моральный износ инфраструктуры и основных фондов, слабое использование транспортного потенциала, а также недостаточный уровень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указанных ограничений не позволит в среднесрочной перспективе обеспечить макроэкономическую устойчивость и высокие темпы экономического роста.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Недостаточное использование интеграционного потенциала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Формирование Таможенного союза и Единого экономического пространства призвано дать дополнительные возможности для экономического развития государств-членов за счет более рационального использования ресурсов, улучшения территориального разделения труда, диверсификации экономик, формирования межстрановых производственных цепочек внутри Единого экономического пространства, а также за счет совместного развития инфраструктуры, реализации транспортного, в том числе транзитного, потенциала и создания эффективно функционирующего общего рынка товаров, услуг, капиталов и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возможности пока реализуются в недостаточной степени. Отсутствие интеграционной составляющей развития экономик государств-членов снижает потенциал устойчивого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оценки Международного валютного фонда и Всемирного банка в отношении перспектив развития экономик государств-членов предполагают дальнейшее снижение темпов роста экономики интеграционного объединения в 2013 году. Более высокие темпы могут быть достигнуты при условии эффективной поддержки внутренних источников экономического роста, в том числе за счет реализации интеграционного потенциала.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Основные ориентиры макроэкономической политики Единого экономического пространства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Последовательное снятие внутренних барьеров и ослабление ограничений экономического роста, включая проведение структурных преобразований и стимулирование приоритетного развития обрабатывающих секторов, будут способствовать снижению зависимости экономик государств-членов от внешних негативных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интеграционных процессов в рамках Единого экономического пространства создает дополнительные возможности для устойчивого развития и повышения темпов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поставленной цели в среднесрочной перспективе определяются следующие основные ориентиры макроэкономической политики государств-членов: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макроэкономической устойчивости;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стабильного экономического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кредитно-финансовой системы.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Поддержание макроэкономической устойчивости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Макроэкономическая устойчивость государств-членов является основным условием для успешного динамичного развития национальных экономик.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Соглашением о согласованной макроэкономической политике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2010 года предусмотрено соблюдение государствами-членами следующих количественных параметров, определяющих устойчивость экономического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дефицит государственного бюджета (для Российской Федерации – федерального бюджета, для Республики Беларусь – республиканского бюджета, для Республики Казахстан – республиканского бюджета) – не выше 3 процентов ВВП;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долг – не выше 50 процентов ВВП;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инфляции (индекс потребительских цен в среднегодовом выражении), не превышающий более чем на 5 процентных пунктов уровень инфляции государства-члена, имеющего наименьший рост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макроэкономических показателей, определяющих устойчивость экономического развития, показал, что в 2012 году в основном все государства-члены придерживались установленных количественных значений, за исключением Республики Беларусь, в которой инфляция была выше установленного значения, а также Республики Казахстан, где значение дефицита республиканского бюджета, по предварительным данным, достигло предельного значения 3,0 %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среднесрочной перспективе для обеспечения макроэкономической устойчивости государств-членов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предпринимать действия по соблюдению показателей, характеризующих устойчивость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выработать подходы к проведению согласованных и совместных действий государств-членов в случае нарастания угрозы экономического кризиса;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увеличивать доходную часть государственного бюджета, в том числе за счет расширения налоговой базы отдельных налогов, усиления контроля за соблюдением налогового законодательства, сокращения неэффективных налоговых льгот и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сбалансированную политику формирования расходной части государственного бюджета путем исключения неэффективных расходов и повышения контроля за осуществлением бюджетных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уровня инфляции проводить рациональную денежно-кредитную политику и политику в отношении регулируемых цен и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поставленных задач будет способствовать обеспечению макроэкономической стабильности в государствах-членах.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Создание условий для стабильного экономического роста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условий для стабильного экономического роста предполагает реализацию следующих приоритетных направлений: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углубление сотрудничества в реальном секторе экономики в целях повышения его конкурентоспособности;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условий торговли и развитие внешнеторговых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и реализация транзитного потенциала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конкурентной среды и улучшение делового климата.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Углубление сотрудничества в реальном секторе в целях повышения его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Важнейшим элементом обеспечения устойчивого развития экономик государств-членов в среднесрочной перспективе должно стать развитие ненефтегазового сектора, в том числе за счет повышения эффективности использования национальных ресурсов путем усиления кооперации производства и использования преимуществ интеграционного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эта задача является долгосрочной, в связи с чем повышение эффективности нефтегазового сектора экономики продолжает оставаться актуальным.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интеграционных преимуществ и повышения конкурентоспособности реальных секторов экономик государств-членов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выработать принципы и подходы к проведению согласованной промышленной и агропромышленной политики в рамках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условия для финансовой поддержки реальных секторов экономик, в том числе за счет формирования новых механизмов привлечения финансовых средств, снижения налоговой нагрузки на реальные сектора экономик, внедрения инструментов налогового стимулирования (инвестиционные преференции, специальные экономические зоны), предоставления гарантий и страхования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условия для углубления кооперации и развития взаимодополняемости реальных секторов экономик государств-членов с учетом их конкурентных преимуществ в целях развития высокотехнологичных производств конкурентоспособной продукции и достижения синергетического эффекта за счет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унифицировать подходы государств-членов к предоставлению промышленных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стимулировать инновационное развитие промышленного и агропромышленного производства и переходить к использованию новейших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совокупности указанных действий будет способствовать повышению эффективности промышленного и агропромышленного производства за счет более рационального использования факторов производства, расширения интеграционного сотрудничества и использования конкурентных преимуществ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Улучшение условий торговли и развитие внешнеторговых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задачи развития обрабатывающих отраслей во многом зависит от наличия рынков сбыта их продукции. Создание условий для географической диверсификации экспортных поставок и повышение уровня переработки экспортируемой продукции могут придать мощный импульс развитию экономик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стимулировать развитие торговли с государствами – участниками СНГ в рамках Договора о зоне свободной торговли от 18 ноября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предварительный анализ возможных преимуществ и издержек для экономик государств-членов при заключении соглашений о свободной торговле с третьими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упрощать административные процедуры в сфере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стимулировать формирование объединений производителей, экспортирующих одноименную продукцию на внешние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диверсифицировать и повышать эффективность государственной поддержки экспорта производимой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отмене технических и административных барьеров в торговле между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условий торговли и развитие внешнеторговых отношений будут способствовать росту объемов и совершенствованию товарной и географической структуры внешней торговли, сокращению временных затрат на прохождение таможенных процедур и стимулированию взаимной торговли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транспортной инфраструктуры и реализация транзитного потенциала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реального сектора экономики, внутрирегиональной и международной торговли обусловливает потребность в форсированном развитии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Особенность географического положения государств-членов, связывающих два крупнейших мировых рынка – Европы и Азии, предоставляет широкие возможности для эффективного использования государствами-членами своего транзитного потенциала.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особую роль в рамках Таможенного союза и Единого экономического пространства приобретают развитие транспортных коридоров и создание логистических центров и транспортных объединений, обеспечивающих оптимизацию процессов перевозки грузов, а также контроль за всеми операциями, осуществляемыми на пути следования грузов, с использованием современных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поставленных задач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выработать принципы и подходы к проведению согласованной транспортной политики в рамках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систему международных транспортных коридоров;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объединению железнодорожных активов государств-членов, задействованных в транзитных перевозках крупнотоннажных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транспортно-таможенные технологии, информационные системы, ускоряющие доставку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внедрять интеллектуальные транспортные системы, в том числе на основе глобальной навигационной спутниковой системы ГЛОНАСС.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и реализация транзитного потенциала Единого экономического пространства будут способствовать созданию евразийской транспортной сети, включению государств-членов в систему международных транспортных коридоров, а также использованию их транзитного потенциала.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конкурентной среды и улучшение делового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создания благоприятных условий для развития предпринимательства, повышения качества и снижения стоимости производимой продукции необходимо формирование и развитие конкурентной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свободы экономической деятельности и эффективного функционирования товарных рынков на единой таможенной территории государств-членов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внедрять процедуру оценки регулирующего воздействия принимаемых нормативных правовых актов на предмет наличия в них излишних административных барьеров для ведения предпринимательской деятельности в государствах-членах по унифицированным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внедрять в лицензионно-разрешительные системы государств-членов практику снижения административных барьеров для бизнеса и улучшения предпринимательской среды, в том числе путем упрощения процедуры получения лицензий, увеличения количества видов деятельности, требующих уведомительного порядка, за счет снижения количества видов деятельности, требующих разрешительного порядка, сокращения количества лицензионно-разрешительных документов, в том числе в связи со вступлением в силу технических регламентов Таможенного союза, а также взаимного признания лицензий, выданных уполномоченными органами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приступить к разработке единой методики тарифообразования в сферах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конкурентной среды будут способствовать снижению административных барьеров для бизнеса, улучшению предпринимательской среды, обеспечению равных условий доступа на товарные рынки Таможенного союза и Единого экономического пространства для предпринимателей всех государств-членов, снижению темпов роста тарифов на услуги естественных монополий, улучшению и сближению позиций государств-членов в рейтинге группы Всемирного банка «Doing Business».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Развитие кредитно-финансовой системы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задачи инновационного развития реального сектора экономики невозможно без развития кредитно-финансовой системы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развития финансовых рынков, привлечения инвестиций и расширения использования национальных валют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согласовывать подходы к развитию и регулированию финансовых рынков государств-членов на основе применения лучших международных практик;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условия для расширения использования национальных валют во внешнеэкономической деятельности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снятию ограничений на движение капитала в рамках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условия для мобилизации внутренних источников инвестиций, включая развитие частно-государственного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кредитно-финансовой системы будет способствовать повышению устойчивости развития и функционирования финансового рынка, снижению валютных рисков, обеспечению свободы движения капитала, повышению транспарентности экономик, расширению внутренних источников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реализация всех ориентиров макроэкономической политики позволит обеспечить устойчивый экономический рост в среднесрочной перспективе за счет снижения внутренних ограничений роста и зависимости экономик государств-членов от внешних факторов.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