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39a76" w14:textId="3e39a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2.26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апреля 2013 года № 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установлении ставки ввозной таможенной пошлины Единого таможенного тарифа Таможенного союза в отношении отдельных видов волокон искусственных вискозных»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В.Б.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 Е Ш Е Н И 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«___» 2013 г.           № г.                       Москва     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установлении ставки ввозной таможенной пошлины Единого</w:t>
      </w:r>
      <w:r>
        <w:br/>
      </w:r>
      <w:r>
        <w:rPr>
          <w:rFonts w:ascii="Times New Roman"/>
          <w:b/>
          <w:i w:val="false"/>
          <w:color w:val="000000"/>
        </w:rPr>
        <w:t>
таможенного тарифа Таможенного союза в отношении отдельных</w:t>
      </w:r>
      <w:r>
        <w:br/>
      </w:r>
      <w:r>
        <w:rPr>
          <w:rFonts w:ascii="Times New Roman"/>
          <w:b/>
          <w:i w:val="false"/>
          <w:color w:val="000000"/>
        </w:rPr>
        <w:t>
видов волокон искусственных вискозных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(приложение к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волокон искусственных вискозных (код 5504 10 000 0 ТН ВЭД ТС) в размере 0 процентов от таможенной стоимости.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3"/>
        <w:gridCol w:w="4293"/>
        <w:gridCol w:w="343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