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73b" w14:textId="420d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ввоза на таможенную
территорию Таможенного союза, вывоза с таможенной территории
Таможенного союза и транзита по таможенной территории Таможенного 
союза гражданского и служебного оружия, его основных (составных) 
частей и патронов к нему и в раздел 2.22 Единого перечня товаров, к 
которым применяются запреты или ограничения на ввоз или вывоз
государствами – членами Таможенного союза в рамках ЕврАзЭС в
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920.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гражданского и служебного оружия, его основных (составных) частей и патронов к нему (далее – Положение) и в раздел 2.22 Единого перечня товаров, к которым применяются запреты или ограничения на ввоз или вывоз государствами–членами Таможенного союза в рамках ЕврАзЭС в торговле с третьими странами,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8 пункта 12 Положения после запятой дополнить словами: «если иное не предусмотрено законодательством государства–члена Таможенного союза;».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12 Положения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временный ввоз и вывоз копий и реплик антикварного оружия физическими и юридическими лицами для участия в историко-культурных мероприятиях, если это предусмотрено законодательством государства–члена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копиями и репликами антикварного оружия понимаются: копии антикварного оружия – оружие, изготовленное по оригиналу либо чертежам образца антикварного оружия при условии точного или масштабного воспроизведения его конструкции, внешнего вида и художественной отделки, не включающие подлинные части антикварного или иных видов оружия; реплики антикварного оружия – оружие, изготовленное по оригиналу, чертежам либо описанию образца антикварного оружия с творческим варьированием конструкции, внешнего вида или художественной отделки, представляющее культурную ценность как образец художественного творчества и декоративно – прикладного искусства.».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2 Приложения № 1 к Положению слово «спортивные»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Графу «Код ТН ВЭД ТС» пункта 22 раздела 2.22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дополнить кодом «9306 30 900 0».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