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b153" w14:textId="108b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мая 2010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января 2012 года № 916. Утратило силу решением Комиссии таможенного союза от 11 декабря 2012 года № 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 11.12.2012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261 «Об утверждении форм общих реестров лиц, осуществляющих деятельность в сфере таможенного дела, порядка их ведения и формирования»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реестра владельцев таможенных складов исправить нумерацию граф: графы 6-11 и 5 считать соответственно графами 5-11;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графу 7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реестра таможенных перевозчиков, графу 7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реестра таможенных представителей, графу 7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реестра владельцев складов временного хранения и графу 7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реестра владельцев таможенных складов после аббревиатуры «РНН» дополнить через знак «/» аббревиатурой «БИН*».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