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1f23" w14:textId="ef31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ставок ввозных таможенных пошлин Единого таможенного тарифа Таможенного союза в отношении прутков из нелегированной стали горячей прокатки и сортового и фасонного проката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25 января 2012 года № 912. Утратило силу решением Совета Евразийской экономической комиссии от 24 августа 2012 года № 73</w:t>
      </w:r>
    </w:p>
    <w:p>
      <w:pPr>
        <w:spacing w:after="0"/>
        <w:ind w:left="0"/>
        <w:jc w:val="both"/>
      </w:pPr>
      <w:bookmarkStart w:name="z1" w:id="0"/>
      <w:r>
        <w:rPr>
          <w:rFonts w:ascii="Times New Roman"/>
          <w:b w:val="false"/>
          <w:i w:val="false"/>
          <w:color w:val="ff0000"/>
          <w:sz w:val="28"/>
        </w:rPr>
        <w:t xml:space="preserve">
      Сноска. Утратило силу решением Совета Евразийской экономической комиссии от 24.08.2012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десяти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Установить ставки ввозных таможенных пошлин Единого таможенного тарифа Таможенного союза (</w:t>
      </w:r>
      <w:r>
        <w:rPr>
          <w:rFonts w:ascii="Times New Roman"/>
          <w:b w:val="false"/>
          <w:i w:val="false"/>
          <w:color w:val="000000"/>
          <w:sz w:val="28"/>
        </w:rPr>
        <w:t>приложение 1</w:t>
      </w:r>
      <w:r>
        <w:rPr>
          <w:rFonts w:ascii="Times New Roman"/>
          <w:b w:val="false"/>
          <w:i w:val="false"/>
          <w:color w:val="000000"/>
          <w:sz w:val="28"/>
        </w:rPr>
        <w:t xml:space="preserve"> к Решению Комиссии Таможенного союза от 18 ноября 2011 г. № 850) в отношении прутков из нелегированной стали горячей прокатки и сортового и фасонного проката (коды 7214 91 100 0, 7214 91 900 0, 7214 99 100 0, 7214 99 390 0,7216 21 000 0, 7216 22 000 0, 7216 31 900 0, 7216 32 110 0, 7216 33 100 0, 7216 33 900 0, 7216 40 100 0 ТН ВЭД ТС) в размере 10 % от таможенной стоимости.</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