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a559" w14:textId="13fa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2012 года № 81.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примечания к единой Товарной номенклатуре внешнеэкономической деятельности Таможенного союза примечанием 13)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Технические параметры должны быть подтверждены соответствующей записью в паспорте на оборудование.";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примечания к Единому таможенному тарифу Таможенного союза примечаниями 12С) и 13С)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"12С) Ставка ввозной таможенной пошлины в размере 0 (ноль) % от таможенной стоимости применяется с 01.11.2012 по 31.12.2012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13С) Ставка ввозной таможенной пошлины в размере 0 (ноль) % от таможенной стоимости применяется с 01.11.2012 по 31.10.2014 включительно.".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ставки ввозных таможенных пошлин в размере 0 (ноль) % от таможенной стоимости: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классифицируемых в подсубпозициях 8462 10 100 1, 8462 10 100 2 единой Товарной номенклатуры внешнеэкономической деятельности Таможенного союза, с 01.11.2012 по 31.12.2012 включительно;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классифицируемых в подсубпозиции 8504 23 000 1 единой Товарной номенклатуры внешнеэкономической деятельности Таможенного союза, с 01.11.2012 по 31.10.2014 включительно.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от 27 ноября 2009 г. № 18 (в ред.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19 декабря 2011 г. № 17) (далее – Перечень).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указанных изменений в Перечень решения по изменению ставок ввозных таможенных пошлин 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принимаются Советом Евразийской экономической комиссии.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 даты его официального опубликования.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2012 г. № 81 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не более 168,3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168,3 мм, но не более 406,4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синхронные двигатели мощностью не более 18 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10 000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аппаратура передающая, включающая в свой состав приемную аппаратуру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2012 г. № 81 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из прочих пластмасс: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не более 168,3 мм: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наружным диаметром более 168,3 мм, но не более 406,4 мм: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числовым программным управлением: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ковочно-штамповочные гидравлические прессы с усилием прессования 200 МН, с возможностью одновременного размещения на рабочем столе трех штампов, оснащенные системой газового нагрева штампов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радиально-ковочные гидравлические машины с усилием ковки 12 МН с ковочным узлом, состоящим из размещенных по кругу в вертикальной плоскости четырех пресс-штемпелей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8481 80 850 8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синхронные двигатели мощностью не более 18 Вт: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асинхронные с высотой оси вращения 250 мм:**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8501 40 200 4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мощностью более 10 000 кВА: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148 000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прочие:***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входным напряжением постоянного тока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 кВ, но не более 4 кВ, содержащие 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канала с суммарной мощностью 386 кВА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напряжениями переменного тока на одном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380 В/50 Гц, на другом 456 В/60 Гц и на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каналах или 380 В/50 Гц, или 240 В/40 Гц, или 95 В/25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8504 40 880 8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 – – – – – прочие:****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 постоянного тока 3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входным напряжением переменного тока 1659 В/50 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2 выходных канала с широтно-импульсной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модуляцией частотой от 0 до 190 Гц, напряжением 2340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выходной мощностью 1200 кВт в каждом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аппаратура передающая, включающая в свой состав приемную аппаратуру: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Бескодовая подсубпозиция после подсубпозиции 8481 80 850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Бескодовая подсубпозиция после бескодовой подсубпозиции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"– – – прочие:", следующей после подсубпозиции 8501 40 200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Бескодовая подсубпозиция после подсубпозиции 8504 40 880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Бескодовая подсубпозиция после подсубпозиции 8504 40 900 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2012 г. № 81 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7304 49 930 9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 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7608 20 890 8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ковочно-штамповочные 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с усилием прессования 200 МН,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одновременного размещения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рабочем столе трех штампов, оснащенные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газового нагрева штампов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радиально-ковочные гидравлические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 усилием ковки 12 МН с ковочным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узлом, состоящим из размещенных по кругу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вертикальной плоскости четырех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пресс-штемпелей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8462 10 100 9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8481 10 190 2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авиационных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8481 10 190 8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8481 10 990 1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8481 10 990 9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8481 30 990 1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8481 30 990 9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8481 80 850 7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8481 80 850 8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8501 10 100 1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8501 10 100 9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8501 40 200 3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8501 40 200 4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8504 23 000 1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148 000 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8504 23 000 9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8504 40 820 1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8504 40 880 2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с входным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не менее 2 кВ,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кВ, содержащие четыре выходных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с суммарной мощностью 386 кВА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выходными напряжениями переменного тока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 из каналов 380 В/50 Гц, на другом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В/60 Гц и на двух каналах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В/50 Гц, или 240 В/40 Гц, или 95 В/25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8504 40 880 8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3 кВ или входным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переменного тока 1659 В/50 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2 выходных канала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широтно-импульсной модуляцией частотой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190 Гц, напряжением 2340 В и выходной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1200 кВт в каждом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подъемным механизмом ножничного типа, оборудованным кузовом, предназначенным для перевозки, перемещения в самолет и из него кресел-каталок и/или носилок с пассажирами, не способными передвигаться, или без них, и лиц, их сопровождающих, и оснащенным системами вентиляции, отопления и освещения, окнами, многофункциональными устройствами крепления для кресел-каталок и/или носилок, поручнями, расположенными по обеим сторонам вдоль всего кузова, с количеством установленных мест не более двух для сидения сопровождающих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