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570b" w14:textId="b075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таможенному сотрудничеству Евразийской экономической комиссии В.А. Гошина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и ходе подготовки проекта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(далее – проект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обеспечить участие уполномоченных представителей заинтересованных министерств и ведомств Сторон, а также уполномоченных представителей национальных гарантийных объединений Сторон (БАМАП, КазАТО, АСМАП) в Рабочей группе по доработке проекта Соглашения с целью подготовки его к подписанию до 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доложить Совету Евразийской экономической комиссии о ходе работы Рабочей группы в двухмесячный срок.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