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3a96" w14:textId="58d3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Календарном плане разработки документов в целях реализации Соглашений, формирующих Единое экономическое пространство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2012 года № 29. Утратило силу решением Совета Евразийской экономической комиссии от 16 июля 2014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Совета Евразийской экономической комиссии от 16.07.2014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уточненный </w:t>
      </w: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Соглашений, формирующих Единое экономическое пространство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599 «О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в дальнейшем при необходимости вносить изменения и дополнения в Календарный план,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Коллегии Евразийской экономической комиссии совместно со Сторонами обеспечить выполнение Календарного плана,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десяти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3"/>
        <w:gridCol w:w="4543"/>
        <w:gridCol w:w="3994"/>
      </w:tblGrid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С. Румас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г. № 29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КАЛЕНДАРНЫЙ ПЛАН</w:t>
      </w:r>
      <w:r>
        <w:br/>
      </w:r>
      <w:r>
        <w:rPr>
          <w:rFonts w:ascii="Times New Roman"/>
          <w:b/>
          <w:i w:val="false"/>
          <w:color w:val="000000"/>
        </w:rPr>
        <w:t>
разработки документов в целях реализации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договоров, формирующих Единое экономическое пространство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Календарный план в редакции решения Совета Евразийской экономической комиссии от 27.02.2013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 (вступает в силу по истечении 30 календарных дней с даты его официального опубликования); с изменениями, внесенными решениями Коллегии Евразийской экономической комиссии от 03.09.2013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08.04.2014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26.05.2014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4"/>
        <w:gridCol w:w="2039"/>
        <w:gridCol w:w="1854"/>
        <w:gridCol w:w="1855"/>
        <w:gridCol w:w="1466"/>
        <w:gridCol w:w="1466"/>
        <w:gridCol w:w="1866"/>
      </w:tblGrid>
      <w:tr>
        <w:trPr>
          <w:trHeight w:val="109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(краткое содержание)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член Коллегии Евразийской экономической комиссии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департамент Евразийской экономической комиссии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одобрения проекта документа (утверждения документа) Евразийской экономической комиссией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принятия документа Высшим Евразийским экономическим советом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51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согласованной макроэкономической политике от 9 декабря 2010 года</w:t>
            </w:r>
          </w:p>
        </w:tc>
      </w:tr>
      <w:tr>
        <w:trPr>
          <w:trHeight w:val="136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Методика расчетов макроэкономических показателей, определяющих устойчивость экономического развития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июня 2013 г. № 144</w:t>
            </w:r>
          </w:p>
        </w:tc>
      </w:tr>
      <w:tr>
        <w:trPr>
          <w:trHeight w:val="18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Критерии, определяющие исключительные обстоятельства, при которых могут быть пересмотрены количественные параметры, определяющие устойчивость экономического развития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документа признана нецелесообразной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Комиссии* от 19 февраля 2013 г. № 18)</w:t>
            </w:r>
          </w:p>
        </w:tc>
      </w:tr>
      <w:tr>
        <w:trPr>
          <w:trHeight w:val="21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Порядок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– членов Таможенного союза и Единого экономического пространства (далее – государства-члены)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Комиссии от 11 декабря 2012 г. № 269</w:t>
            </w:r>
          </w:p>
        </w:tc>
      </w:tr>
      <w:tr>
        <w:trPr>
          <w:trHeight w:val="21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Порядок обмена информацией между уполномоченными органами государств-членов и Евразийской экономической комиссией в целях проведения согласованной макроэкономической политики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11 декабря 2012 г. № 270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и правилах регулирования деятельности субъектов естественных монополий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Поэтапный план формирования Единого экономического пространства в отношении сфер естественных монополий (в секторальном (отраслевом) разрезе)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Критерии и порядок проведения мониторинга реализации поэтапного плана формирования Единого экономического пространства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Способы координации (разработки и реализации) решений национальных органов, касающихся сфер естественных монополий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Перечень нормативных правовых актов государств-членов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24 декабря 2013 г. № 62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и правилах конкуренции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Методика оценки состояния конкуренции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30 января 2013 г. № 7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Методика определения монопольно высоких и монопольно низких цен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17 декабря 2012 г. № 117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Методика расчета и порядок наложения штрафов, предусмотренных Соглашением о единых принципах и правилах конкуренции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17 декабря 2012 г. № 118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Критерии отнесения рынка к трансграничному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19 декабря 2012 г. № 29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Порядок рассмотрения заявлений (материалов) о нарушении правил конкуренции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 от 23 ноября 2012 г. № 97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Порядок проведения расследований нарушений правил конкуренции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23 ноября 2012 г. № 98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Порядок рассмотрения дел о нарушении правил конкуренции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23 ноября 2012 г. № 99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Порядок подачи в Комиссию обращений государств-членов по фактам введения государственного ценового регулирования и их рассмотрения Комиссией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Коллегии Комиссии от 6 ноября 2012 г. № 210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 Порядок взаимодействия, в том числе информационного, Евразийской экономической комиссии и уполномоченных органов государств- членов в рамках Соглашения о единых принципах и правилах конкуренции от 9 декабря 2010 года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23 ноября 2012 г. № 96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 Перечень нормативных правовых актов государств-членов в области конкурентной политики, которые подлежат изменению или принятию в целях гармонизации законодательств каждого из государств-членов в области конкурентной политики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20 июля 2012 г. № 67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3.11. Модельный закон о конкуренции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24 октября 2013 г. № 50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 Соглашение, определяющее порядок защиты конфиденциальной информации и ответственность за ее разглашение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 Департамент антимонопольного регулирования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соответствующего международного договора одобрен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31 января 2014 г. № 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правилах предоставления промышленных субсидий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Протокол к Соглашению, отражающий: порядок обязательного согласования с Комиссией специфических субсидий; порядок проведения расследований, в том числе по фактам нарушения условий и порядка предоставления и использования субсидий, установленных Соглашением; критерии, на основе которых Комиссия будет принимать решение о допустимости или недопустимости специфической субсидии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правилах государственной поддержки сельского хозяйства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Форма уведомления об объемах государственной поддержки сельского хозяйства государств-членов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ноября 2011 г. № 813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Перечень нормативных правовых актов государств-членов в области государственной поддержки сельского хозяйства, которые подлежат изменению или принятию, с определением последовательности и сроков осуществления (отмены) соответствующих мер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октября 2012 г. № 3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(муниципальных) закупках от 9 декабря 2010 года (разработка дополнительных документов не предусмотрена)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Соглашение о торговле услугами и инвестициях в государствах – участниках Единого экономического пространства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Соглашение о требованиях к осуществлению деятельности на финансовых рынках государств-членов, предусматривающее направления и порядок гармонизации законодательства государств-членов, в частности в сфере требований и условий выдачи лицензий на осуществление видов деятельности в секторах банковских услуг, страховых услуг и услуг на рынке ценных бумаг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соответствующего международного договора одобрен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4 марта 2014 г. № 19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регулирования в сфере охраны и защиты прав интеллектуальной собственности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Международный договор о единых процедурах регистрации товарных знаков и наименований мест происхождения товаров (географических указаний)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соответствующего международного договора одобрен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16 мая 2013 г. № 30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Международный договор по определению единого порядка управления правами на коллективной основе, в том числе в случае реализации права на вознаграждение за свободное воспроизведение фонограмм и аудиовизуальных произведений в личных целях; по созданию государствами-членами баз данных, содержащих информацию об охраняемых объектах авторских и смежных прав и порядок организации информационного обмена; по созданию и определению порядка работы Комиссии по координации работы организаций по коллективному управлению государств-членов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соответствующего международного договора одобрен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12 ноября 2013 г. № 261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Международный договор о координации действий уполномоченных органов государств-членовпо защите прав на результаты интеллектуальной деятельности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соответствующего международного договора одобрен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29 октября 2013 г. № 241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 Международный договор о Координационном совете Единого экономического пространства по интеллектуальной собственности (Положение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Координационном совете)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документа признана нецелесообразной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сентября 2012 г. № 201)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создании условий на финансовых рынках для обеспечения свободного движения капитала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План мероприятий по обмену информацией между уполномоченными органами государств-членов в целях гармонизации законодательства этих государств в сферах, указанных в статьях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создании условий на финансовых рынках для обеспечения свободного движения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2010 года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15 января 2013 г. № 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согласованных принципах валютной политики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Международный договор между центральными (национальными) банками государств-членов по проведению согласованной валютной политики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Межгосударственного совета ЕврАзЭС (Высшего органа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союза) от 19 октября 2011 г. № 96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 Международный договор между правительствами и центральными (национальными) банками государств-членов по вопросам регулирования валютных правоотношений и мерам либерализации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Международный договор о взаимодействии уполномоченных органов государств-членов, осуществляющих валютный контроль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Межгосударственного совета ЕврАзЭС (Высшего органа Таможенного союза) от 19 октября 2011 г. № 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Система информационного обмена на основе таможенной информации, включающей сведения о поставках, экспорте и импорте нефти и нефтепродуктов всеми видами транспорта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функционирует в рамках Соглашения об организации обмена информацией для реализации аналитических и контрольных функций таможенных органов государств – членов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2011 г.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Методика механизмов контроля, предотвращающих нарушение условий Соглашения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Технические регламенты, региональные стандарты и иные документы по унификации норм или стандартов на нефть и нефтепродукты государств-членов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Методика расчета фактических объемов переданной и полученной электрической энергии, оформляемых двусторонними соглашениями государств-членов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определена в соглашении об обмене данными почасовых величин перетоков электроэнергии по точкам учета на МГЛЭП между ОАО «ФСК ЕЭС» (Российская Федерация) – АО «KEGOC» (Республика Казахстан) от 25 ноября 2009 г. № 13-С-1125 (приложение № 3), соглашении об организации учета перетоков электроэнергии и мощности по МГЛЭП между ОАО «ФСК ЕЭС» и ГПО «Белэнерго» от 31 декабря 2009 г. (приложение № 3)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Двусторонние соглашения об обмене данными почасовых величин перетоков электроэнергии по точкам учета на МГЛЭП, определяющие условия и порядок формирования и обмена данными коммерческого учета электроэнергии по МГЛЭП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заключены соглашение об обмене данными почасовых величин перетоков электроэнергии по точкам учета на МГЛЭП между ОАО «ФСК ЕЭС» (Российская Федерация) – АО «KEGOC» (Республика Казахстан) от 25 ноября 2009 г. № 13-С-1125, соглашение о порядке определения и обмена данными почасовых величин сальдо перетоков электроэнергии между ОАО «ФСК ЕЭС» и ГПО «Белэнерго» от 29 июня 2012 г.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 Порядок подачи заявок и формирования годовых прогнозных объемов межгосударственной передачи электроэнергии (мощности), подлежащих включению в прогнозные балансы производства и потребления электроэнергии (мощности), в том числе учитываемых при расчете тарифов на услуги субъектов естественных монополий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порядок, установленный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 (приложение)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политики,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 Протокол о завершении создания системы информационного обмена на основе информации, включающей в себя сведения о внутреннем потреблении газа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соответствующего международного договора одобрен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2013 г. № 305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 Протокол о завершении создания механизмов для подготовки индикативных прогнозных балансов газа в соответствии с Соглашением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соответствующего международного договора одобрен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2013 г. № 305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 Протокол о завершении унификации норм и стандартов на газ государств-членов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 Индикативный прогнозный баланс газа государств-членов (производство, потребление и поставки для внутренних потребностей, в том числе взаимные) сроком на 5 лет с ежегодным уточнением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ежегодно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 Итоговый Протокол к Соглашению о завершении выполнения комплекса мер, являющихся условием обеспечения доступа к услугам естественных монополий в сфере транспортировки газа по газотранспортным системам Единого экономического пространства, включая переход нарыночные (равнодоходные) цены на газ на территориях государств-членов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регулировании доступа к услугам железнодорожного транспорта, включая основы тарифной политики, от 9 декабря 2010 года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Единые правила установления исключительных тарифов на услуги организаций железнодорожного транспорта при перевозке грузов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12 июля 2012 г. № 119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 Правила рассмотрения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транспортапо перевозке грузов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12 июля 2012 г. № 118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14.3. Правила доступа к услугам инфраструктуры в рамках Единого экономического пространства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300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 Правила оказания услуг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по противодействию нелегальной трудовой миграции из третьих государств от 19 ноября 2010 года</w:t>
            </w:r>
          </w:p>
        </w:tc>
      </w:tr>
      <w:tr>
        <w:trPr>
          <w:trHeight w:val="109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 Соглашения о реадмиссии с государствами, не являющимися участниками Соглашения о сотрудничестве по противодействию нелегальной трудовой миграции 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2010 года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правовом статусе трудящихся-мигрантов и членов их семей от 19 ноября 2010 года (разработка дополнительных документов не предусмотрена)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</w:t>
            </w:r>
          </w:p>
        </w:tc>
      </w:tr>
      <w:tr>
        <w:trPr>
          <w:trHeight w:val="109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Единый перечень продукции, в отношении которой утверждаются обязательные требования, и порядок его ведения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  аккредитации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января 2011 г. № 526 (в редакции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23 ноября 2012 г. № 102)</w:t>
            </w:r>
          </w:p>
        </w:tc>
      </w:tr>
      <w:tr>
        <w:trPr>
          <w:trHeight w:val="66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 Типовые схемы оценки (подтверждения) соответствия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7 апреля 2011 г. № 621</w:t>
            </w:r>
          </w:p>
        </w:tc>
      </w:tr>
      <w:tr>
        <w:trPr>
          <w:trHeight w:val="109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 Единые формы документов об оценке (подтверждении) соответствия (декларации о соответствии техническим регламентам Таможенного союза, сертификата соответствия техническим регламентам Таможенного союза)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  аккредитации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293</w:t>
            </w:r>
          </w:p>
        </w:tc>
      </w:tr>
      <w:tr>
        <w:trPr>
          <w:trHeight w:val="109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 Положение о порядке формирования перечней международных и региональных (межгосударственных) стандартов, обеспечивающих соблюдение требований технических регламентов ТС и необходимых для осуществления оценки (подтверждения) соответствия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Для целей настоящего Календарного плана под Комиссией понимается Евразийская экономическая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