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314e" w14:textId="2cf3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реализации международных договоров в области нетарифного регулирования, составляющих договорно-правовую базу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Евразийской экономической комиссии от 11 декабря 2012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торговле Слепнева А.А. о результатах мониторинга хода реализации международных договоров в области нетарифного регулирования, составляющих договорно-правовую базу Таможенного союза и Единого экономического пространства, подготовленную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апреля 2012 г. № 28 «О закреплении за членами Коллегии и департаментами Евразийской экономической комиссии соглашений, формирующих договорно-правовую базу Таможенного союза и Единого экономического пространства, в отношении которых будет осуществляться мониторинг хода их реализации»,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дальнейшего совершенствования договорно-правовой базы Таможенного союза и Единого экономического пространства в области нетарифного регулирования,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Таможенного союза и Единого экономического пространства: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Ускорить проведение внутригосударственного согласования и внутригосударственных процедур, необходимых для принятия международных договоров, регламентирующих порядок перемещения по единой таможенной территории Таможенного союза отдельных категорий товаров, которые включены в Единый перечень товаров, к которым применяются запреты или ограничения на ввоз или вывоз государствами –членами Таможенного союза в рамках Евразийского экономического сообщества в торговле с третьими странами,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134 «О нормативных правовых актах в области нетарифного регулирования» (далее – Единый перечень товаров), и в отношении которых государства –члены Таможенного союза и Единого экономического пространства имеют международные обязательства,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озоноразрушающих веществ и содержащей их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опасных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ядовитых веществ, не являющихся прекурсорами наркотических средств и психотропных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специальных технических средств, предназначенных для негласного получения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служебного и гражданского оружия, его основных (составных) частей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в Евразийскую экономическую комиссию предложения по внесению изменений в международные договоры в области нетарифного регулирования, которые будут учтены в рамках работы по кодификации договорно-правовой базы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введении в одностороннем порядке мер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 воздерживаться в дальнейшем от продления действия или повторного (неоднократного) введения таких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Провести на национальном уровне работу по отмене неунифицированных мер нетарифного регулирования в отношении товаров, включенных в </w:t>
      </w:r>
      <w:r>
        <w:rPr>
          <w:rFonts w:ascii="Times New Roman"/>
          <w:b w:val="false"/>
          <w:i w:val="false"/>
          <w:color w:val="000000"/>
          <w:sz w:val="28"/>
        </w:rPr>
        <w:t>разделы 1.5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2.24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2.26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