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fdea" w14:textId="2e0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законодательств государств – членов Таможенного союза и Единого экономического пространства в области конкурентной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конкуренции и антимонопольному регулированию Алдабергенова Н.Ш. о ходе выполнения работы по гармонизации законодательств государств – членов Таможенного союза и Единого экономического пространства в области конкурентной политики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разработке проекта модельного закона о конкуренции и его утверждению.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плана мероприятий по разработке проекта модельного закона о конкуренции и его утверждению возложить на члена Коллегии (Министра) по конкуренции и антимонопольному регулированию Алдабергенова Н.Ш.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г. № 302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Л А 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разработке проекта модельного закона о</w:t>
      </w:r>
      <w:r>
        <w:br/>
      </w:r>
      <w:r>
        <w:rPr>
          <w:rFonts w:ascii="Times New Roman"/>
          <w:b/>
          <w:i w:val="false"/>
          <w:color w:val="000000"/>
        </w:rPr>
        <w:t>
конкуренции и его утверждению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087"/>
        <w:gridCol w:w="2079"/>
        <w:gridCol w:w="2630"/>
        <w:gridCol w:w="3572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405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Комиссии</w:t>
            </w:r>
          </w:p>
        </w:tc>
      </w:tr>
      <w:tr>
        <w:trPr>
          <w:trHeight w:val="549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Новосибирск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283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549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295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Минск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925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Коллегии,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Утверждение на заседании Высшего Евразийского экономического совета Модельного закона о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– июль 2013 г.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уточняться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