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57008" w14:textId="43570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технический регламент Таможенного союза "О безопасности колесных транспортных средств" (ТР ТС 018/2011)</w:t>
      </w:r>
    </w:p>
    <w:p>
      <w:pPr>
        <w:spacing w:after="0"/>
        <w:ind w:left="0"/>
        <w:jc w:val="both"/>
      </w:pPr>
      <w:r>
        <w:rPr>
          <w:rFonts w:ascii="Times New Roman"/>
          <w:b w:val="false"/>
          <w:i w:val="false"/>
          <w:color w:val="000000"/>
          <w:sz w:val="28"/>
        </w:rPr>
        <w:t>Решение Коллегии Евразийской экономической комиссии от 25 декабря 2012 года № 301</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Договора о Евразийской экономической комиссии от 18 ноября 2011 года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Одобрить проект решения Совета Евразийской экономической комиссии «О внесении изменений в технический регламент Таможенного союза «О безопасности колесных транспортных средств» (ТР ТС 018/2011) (прилагается).</w:t>
      </w:r>
    </w:p>
    <w:bookmarkEnd w:id="0"/>
    <w:p>
      <w:pPr>
        <w:spacing w:after="0"/>
        <w:ind w:left="0"/>
        <w:jc w:val="both"/>
      </w:pPr>
      <w:r>
        <w:rPr>
          <w:rFonts w:ascii="Times New Roman"/>
          <w:b w:val="false"/>
          <w:i/>
          <w:color w:val="000000"/>
          <w:sz w:val="28"/>
        </w:rPr>
        <w:t>      Председатель                               В.Б. Христенко</w:t>
      </w:r>
    </w:p>
    <w:p>
      <w:pPr>
        <w:spacing w:after="0"/>
        <w:ind w:left="0"/>
        <w:jc w:val="both"/>
      </w:pPr>
      <w:r>
        <w:drawing>
          <wp:inline distT="0" distB="0" distL="0" distR="0">
            <wp:extent cx="67437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43700" cy="1905000"/>
                    </a:xfrm>
                    <a:prstGeom prst="rect">
                      <a:avLst/>
                    </a:prstGeom>
                  </pic:spPr>
                </pic:pic>
              </a:graphicData>
            </a:graphic>
          </wp:inline>
        </w:drawing>
      </w:r>
    </w:p>
    <w:bookmarkStart w:name="z3" w:id="1"/>
    <w:p>
      <w:pPr>
        <w:spacing w:after="0"/>
        <w:ind w:left="0"/>
        <w:jc w:val="left"/>
      </w:pPr>
      <w:r>
        <w:rPr>
          <w:rFonts w:ascii="Times New Roman"/>
          <w:b/>
          <w:i w:val="false"/>
          <w:color w:val="000000"/>
        </w:rPr>
        <w:t xml:space="preserve"> 
Р Е Ш Е Н И Е</w:t>
      </w:r>
    </w:p>
    <w:bookmarkEnd w:id="1"/>
    <w:bookmarkStart w:name="z4" w:id="2"/>
    <w:p>
      <w:pPr>
        <w:spacing w:after="0"/>
        <w:ind w:left="0"/>
        <w:jc w:val="both"/>
      </w:pPr>
      <w:r>
        <w:rPr>
          <w:rFonts w:ascii="Times New Roman"/>
          <w:b w:val="false"/>
          <w:i w:val="false"/>
          <w:color w:val="000000"/>
          <w:sz w:val="28"/>
        </w:rPr>
        <w:t xml:space="preserve">
Проект      </w:t>
      </w:r>
    </w:p>
    <w:bookmarkEnd w:id="2"/>
    <w:p>
      <w:pPr>
        <w:spacing w:after="0"/>
        <w:ind w:left="0"/>
        <w:jc w:val="both"/>
      </w:pPr>
      <w:r>
        <w:rPr>
          <w:rFonts w:ascii="Times New Roman"/>
          <w:b w:val="false"/>
          <w:i w:val="false"/>
          <w:color w:val="000000"/>
          <w:sz w:val="28"/>
        </w:rPr>
        <w:t xml:space="preserve">      «___» __________ 20 г.          №               г. Москва      </w:t>
      </w:r>
    </w:p>
    <w:bookmarkStart w:name="z5" w:id="3"/>
    <w:p>
      <w:pPr>
        <w:spacing w:after="0"/>
        <w:ind w:left="0"/>
        <w:jc w:val="left"/>
      </w:pPr>
      <w:r>
        <w:rPr>
          <w:rFonts w:ascii="Times New Roman"/>
          <w:b/>
          <w:i w:val="false"/>
          <w:color w:val="000000"/>
        </w:rPr>
        <w:t xml:space="preserve"> 
О внесении изменений в технический регламент Таможенного союза «О безопасности колесных транспортных средств» (ТР ТС 018/2011)</w:t>
      </w:r>
    </w:p>
    <w:bookmarkEnd w:id="3"/>
    <w:bookmarkStart w:name="z6" w:id="4"/>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Договора о Евразийской экономической комиссии от 18 ноября 2011 года Совет Евразийской экономической комиссии решил:</w:t>
      </w:r>
      <w:r>
        <w:br/>
      </w:r>
      <w:r>
        <w:rPr>
          <w:rFonts w:ascii="Times New Roman"/>
          <w:b w:val="false"/>
          <w:i w:val="false"/>
          <w:color w:val="000000"/>
          <w:sz w:val="28"/>
        </w:rPr>
        <w:t>
</w:t>
      </w:r>
      <w:r>
        <w:rPr>
          <w:rFonts w:ascii="Times New Roman"/>
          <w:b w:val="false"/>
          <w:i w:val="false"/>
          <w:color w:val="000000"/>
          <w:sz w:val="28"/>
        </w:rPr>
        <w:t>
      1. Внести в технический регламент Таможенного союза «О безопасности колесных транспортных средств» (ТР ТС 018/2011), утвержденный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 № 877, изменения согласно приложению.</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4"/>
    <w:p>
      <w:pPr>
        <w:spacing w:after="0"/>
        <w:ind w:left="0"/>
        <w:jc w:val="both"/>
      </w:pPr>
      <w:r>
        <w:rPr>
          <w:rFonts w:ascii="Times New Roman"/>
          <w:b w:val="false"/>
          <w:i/>
          <w:color w:val="000000"/>
          <w:sz w:val="28"/>
        </w:rPr>
        <w:t>Члены Совета Евразийской экономической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4393"/>
        <w:gridCol w:w="3473"/>
      </w:tblGrid>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 Беларусь</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 Казахстан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 Федерации</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Келимбетов</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bookmarkStart w:name="z9" w:id="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Совета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«___» _________20 г. №     </w:t>
      </w:r>
    </w:p>
    <w:bookmarkEnd w:id="5"/>
    <w:bookmarkStart w:name="z10" w:id="6"/>
    <w:p>
      <w:pPr>
        <w:spacing w:after="0"/>
        <w:ind w:left="0"/>
        <w:jc w:val="left"/>
      </w:pPr>
      <w:r>
        <w:rPr>
          <w:rFonts w:ascii="Times New Roman"/>
          <w:b/>
          <w:i w:val="false"/>
          <w:color w:val="000000"/>
        </w:rPr>
        <w:t xml:space="preserve"> 
ИЗМЕНЕНИЯ,</w:t>
      </w:r>
      <w:r>
        <w:br/>
      </w:r>
      <w:r>
        <w:rPr>
          <w:rFonts w:ascii="Times New Roman"/>
          <w:b/>
          <w:i w:val="false"/>
          <w:color w:val="000000"/>
        </w:rPr>
        <w:t>
которые вносятся в технический регламент Таможенного союза «О безопасности колесных транспортных средств» (ТР ТС 018/2011)</w:t>
      </w:r>
    </w:p>
    <w:bookmarkEnd w:id="6"/>
    <w:bookmarkStart w:name="z11" w:id="7"/>
    <w:p>
      <w:pPr>
        <w:spacing w:after="0"/>
        <w:ind w:left="0"/>
        <w:jc w:val="both"/>
      </w:pPr>
      <w:r>
        <w:rPr>
          <w:rFonts w:ascii="Times New Roman"/>
          <w:b w:val="false"/>
          <w:i w:val="false"/>
          <w:color w:val="000000"/>
          <w:sz w:val="28"/>
        </w:rPr>
        <w:t>
      1. В </w:t>
      </w:r>
      <w:r>
        <w:rPr>
          <w:rFonts w:ascii="Times New Roman"/>
          <w:b w:val="false"/>
          <w:i w:val="false"/>
          <w:color w:val="000000"/>
          <w:sz w:val="28"/>
        </w:rPr>
        <w:t>пункте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абзаца четвертого дополнить абзацем следующего содержания: «аппаратура спутниковой навигации» - аппаратно-программное устройство, устанавливаемое на транспортное средство для определения его текущего местоположения, направления и скорости движения по сигналам не менее двух действующих глобальных навигационных спутниковых систем, обмена данными с дополнительным бортовым оборудованием, а также для обмена информацией по сетям подвижной радиотелефонной связи;»;</w:t>
      </w:r>
      <w:r>
        <w:br/>
      </w:r>
      <w:r>
        <w:rPr>
          <w:rFonts w:ascii="Times New Roman"/>
          <w:b w:val="false"/>
          <w:i w:val="false"/>
          <w:color w:val="000000"/>
          <w:sz w:val="28"/>
        </w:rPr>
        <w:t>
</w:t>
      </w:r>
      <w:r>
        <w:rPr>
          <w:rFonts w:ascii="Times New Roman"/>
          <w:b w:val="false"/>
          <w:i w:val="false"/>
          <w:color w:val="000000"/>
          <w:sz w:val="28"/>
        </w:rPr>
        <w:t>
      абзац восемьдесят второй дополнить словами «, предназначенный для повышения пассивной безопасности транспортного средства путем фиксации положения водителя и пассажиров относительно кузова»;</w:t>
      </w:r>
      <w:r>
        <w:br/>
      </w:r>
      <w:r>
        <w:rPr>
          <w:rFonts w:ascii="Times New Roman"/>
          <w:b w:val="false"/>
          <w:i w:val="false"/>
          <w:color w:val="000000"/>
          <w:sz w:val="28"/>
        </w:rPr>
        <w:t>
</w:t>
      </w:r>
      <w:r>
        <w:rPr>
          <w:rFonts w:ascii="Times New Roman"/>
          <w:b w:val="false"/>
          <w:i w:val="false"/>
          <w:color w:val="000000"/>
          <w:sz w:val="28"/>
        </w:rPr>
        <w:t>
      после абзаца сто второго дополнить абзацем следующего содержания: «система вызова экстренных оперативных служб» - система, выполняющая функции устройства вызова экстренных оперативных служб, обеспечивающая передачу сообщения о транспортном средстве при дорожно-транспортном и ином происшествиях в автоматическом режиме;»;</w:t>
      </w:r>
      <w:r>
        <w:br/>
      </w:r>
      <w:r>
        <w:rPr>
          <w:rFonts w:ascii="Times New Roman"/>
          <w:b w:val="false"/>
          <w:i w:val="false"/>
          <w:color w:val="000000"/>
          <w:sz w:val="28"/>
        </w:rPr>
        <w:t>
</w:t>
      </w:r>
      <w:r>
        <w:rPr>
          <w:rFonts w:ascii="Times New Roman"/>
          <w:b w:val="false"/>
          <w:i w:val="false"/>
          <w:color w:val="000000"/>
          <w:sz w:val="28"/>
        </w:rPr>
        <w:t>
      после абзаца сто сорок первого дополнить абзацем следующего содержания: «устройство вызова экстренных оперативных служб» - устройство, осуществляющее и обеспечивающее определение координат, скорости и направления движения транспортного средства с помощью сигналов не менее двух действующих глобальных навигационных спутниковых систем, передачу сообщения о транспортном средстве при дорожно-транспортном и ином происшествиях в</w:t>
      </w:r>
      <w:r>
        <w:br/>
      </w:r>
      <w:r>
        <w:rPr>
          <w:rFonts w:ascii="Times New Roman"/>
          <w:b w:val="false"/>
          <w:i w:val="false"/>
          <w:color w:val="000000"/>
          <w:sz w:val="28"/>
        </w:rPr>
        <w:t>
</w:t>
      </w:r>
      <w:r>
        <w:rPr>
          <w:rFonts w:ascii="Times New Roman"/>
          <w:b w:val="false"/>
          <w:i w:val="false"/>
          <w:color w:val="000000"/>
          <w:sz w:val="28"/>
        </w:rPr>
        <w:t>
      ручном режиме и двустороннюю голосовую связь с экстренными оперативными службами по сетям подвижной радиотелефонной связи;».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Выпускаемые в обращение транспортные средства категории М, используемые для коммерческих перевозок пассажиров, а также специально предназначенные для перевозки детей, и категории N, используемые для перевозки твердых бытовых отходов и мусора (мусоровозы), специальных, опасных, тяжеловесных и (или) крупногабаритных грузов, а также транспортные средства оперативных служб подлежат оснащению аппаратурой спутниковой навигации. Конструкция указанных транспортных средств должна обеспечивать возможность оснащения их указанной аппаратурой.</w:t>
      </w:r>
      <w:r>
        <w:br/>
      </w:r>
      <w:r>
        <w:rPr>
          <w:rFonts w:ascii="Times New Roman"/>
          <w:b w:val="false"/>
          <w:i w:val="false"/>
          <w:color w:val="000000"/>
          <w:sz w:val="28"/>
        </w:rPr>
        <w:t>
      Транспортные средства оперативных служб и транспортные средства категории N, используемые для перевозки твердых бытовых отходов и мусора (мусоровозы), оснащаются аппаратурой спутниковой навигации в порядке, установленном законодательством государств – членов Таможенного союза.</w:t>
      </w:r>
      <w:r>
        <w:br/>
      </w:r>
      <w:r>
        <w:rPr>
          <w:rFonts w:ascii="Times New Roman"/>
          <w:b w:val="false"/>
          <w:i w:val="false"/>
          <w:color w:val="000000"/>
          <w:sz w:val="28"/>
        </w:rPr>
        <w:t>
      Оснащение указанной аппаратурой транспортных средств, находящихся в эксплуатации, осуществляется в порядке, установленном законодательством государств – членов Таможенного союза.».</w:t>
      </w:r>
      <w:r>
        <w:br/>
      </w:r>
      <w:r>
        <w:rPr>
          <w:rFonts w:ascii="Times New Roman"/>
          <w:b w:val="false"/>
          <w:i w:val="false"/>
          <w:color w:val="000000"/>
          <w:sz w:val="28"/>
        </w:rPr>
        <w:t>
</w:t>
      </w:r>
      <w:r>
        <w:rPr>
          <w:rFonts w:ascii="Times New Roman"/>
          <w:b w:val="false"/>
          <w:i w:val="false"/>
          <w:color w:val="000000"/>
          <w:sz w:val="28"/>
        </w:rPr>
        <w:t>
      3. Дополнить пунктом 13</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«13</w:t>
      </w:r>
      <w:r>
        <w:rPr>
          <w:rFonts w:ascii="Times New Roman"/>
          <w:b w:val="false"/>
          <w:i w:val="false"/>
          <w:color w:val="000000"/>
          <w:vertAlign w:val="superscript"/>
        </w:rPr>
        <w:t>1</w:t>
      </w:r>
      <w:r>
        <w:rPr>
          <w:rFonts w:ascii="Times New Roman"/>
          <w:b w:val="false"/>
          <w:i w:val="false"/>
          <w:color w:val="000000"/>
          <w:sz w:val="28"/>
        </w:rPr>
        <w:t>. Выпускаемые в обращение транспортные средства категорий М</w:t>
      </w:r>
      <w:r>
        <w:rPr>
          <w:rFonts w:ascii="Times New Roman"/>
          <w:b w:val="false"/>
          <w:i w:val="false"/>
          <w:color w:val="000000"/>
          <w:vertAlign w:val="subscript"/>
        </w:rPr>
        <w:t>1</w:t>
      </w:r>
      <w:r>
        <w:rPr>
          <w:rFonts w:ascii="Times New Roman"/>
          <w:b w:val="false"/>
          <w:i w:val="false"/>
          <w:color w:val="000000"/>
          <w:sz w:val="28"/>
        </w:rPr>
        <w:t xml:space="preserve"> и N</w:t>
      </w:r>
      <w:r>
        <w:rPr>
          <w:rFonts w:ascii="Times New Roman"/>
          <w:b w:val="false"/>
          <w:i w:val="false"/>
          <w:color w:val="000000"/>
          <w:vertAlign w:val="subscript"/>
        </w:rPr>
        <w:t>1</w:t>
      </w:r>
      <w:r>
        <w:rPr>
          <w:rFonts w:ascii="Times New Roman"/>
          <w:b w:val="false"/>
          <w:i w:val="false"/>
          <w:color w:val="000000"/>
          <w:sz w:val="28"/>
        </w:rPr>
        <w:t xml:space="preserve"> оснащаются системой вызова экстренных оперативных служб, прочие выпускаемые в обращение транспортные средства категорий М</w:t>
      </w:r>
      <w:r>
        <w:rPr>
          <w:rFonts w:ascii="Times New Roman"/>
          <w:b w:val="false"/>
          <w:i w:val="false"/>
          <w:color w:val="000000"/>
          <w:vertAlign w:val="subscript"/>
        </w:rPr>
        <w:t>1</w:t>
      </w:r>
      <w:r>
        <w:rPr>
          <w:rFonts w:ascii="Times New Roman"/>
          <w:b w:val="false"/>
          <w:i w:val="false"/>
          <w:color w:val="000000"/>
          <w:sz w:val="28"/>
        </w:rPr>
        <w:t xml:space="preserve"> и N1, транспортные средства категорий М</w:t>
      </w:r>
      <w:r>
        <w:rPr>
          <w:rFonts w:ascii="Times New Roman"/>
          <w:b w:val="false"/>
          <w:i w:val="false"/>
          <w:color w:val="000000"/>
          <w:vertAlign w:val="subscript"/>
        </w:rPr>
        <w:t>2</w:t>
      </w:r>
      <w:r>
        <w:rPr>
          <w:rFonts w:ascii="Times New Roman"/>
          <w:b w:val="false"/>
          <w:i w:val="false"/>
          <w:color w:val="000000"/>
          <w:sz w:val="28"/>
        </w:rPr>
        <w:t>, М</w:t>
      </w:r>
      <w:r>
        <w:rPr>
          <w:rFonts w:ascii="Times New Roman"/>
          <w:b w:val="false"/>
          <w:i w:val="false"/>
          <w:color w:val="000000"/>
          <w:vertAlign w:val="subscript"/>
        </w:rPr>
        <w:t>3</w:t>
      </w: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N</w:t>
      </w:r>
      <w:r>
        <w:rPr>
          <w:rFonts w:ascii="Times New Roman"/>
          <w:b w:val="false"/>
          <w:i w:val="false"/>
          <w:color w:val="000000"/>
          <w:vertAlign w:val="subscript"/>
        </w:rPr>
        <w:t>3</w:t>
      </w:r>
      <w:r>
        <w:rPr>
          <w:rFonts w:ascii="Times New Roman"/>
          <w:b w:val="false"/>
          <w:i w:val="false"/>
          <w:color w:val="000000"/>
          <w:sz w:val="28"/>
        </w:rPr>
        <w:t xml:space="preserve"> оснащаются устройством вызова экстренных оперативных служб.».</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Таблицу 4</w:t>
      </w:r>
      <w:r>
        <w:rPr>
          <w:rFonts w:ascii="Times New Roman"/>
          <w:b w:val="false"/>
          <w:i w:val="false"/>
          <w:color w:val="000000"/>
          <w:sz w:val="28"/>
        </w:rPr>
        <w:t xml:space="preserve"> приложения № 1 к указанному техническому регламенту дополнить позициями 117 и 118 следующего содержания:</w:t>
      </w:r>
      <w:r>
        <w:br/>
      </w:r>
      <w:r>
        <w:rPr>
          <w:rFonts w:ascii="Times New Roman"/>
          <w:b w:val="false"/>
          <w:i w:val="false"/>
          <w:color w:val="000000"/>
          <w:sz w:val="28"/>
        </w:rPr>
        <w:t>
      «117. Аппаратура спутниковой навигации</w:t>
      </w:r>
      <w:r>
        <w:br/>
      </w:r>
      <w:r>
        <w:rPr>
          <w:rFonts w:ascii="Times New Roman"/>
          <w:b w:val="false"/>
          <w:i w:val="false"/>
          <w:color w:val="000000"/>
          <w:sz w:val="28"/>
        </w:rPr>
        <w:t>
      118. Устройство вызова экстренных оперативных служб».</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приложении № 2</w:t>
      </w:r>
      <w:r>
        <w:rPr>
          <w:rFonts w:ascii="Times New Roman"/>
          <w:b w:val="false"/>
          <w:i w:val="false"/>
          <w:color w:val="000000"/>
          <w:sz w:val="28"/>
        </w:rPr>
        <w:t xml:space="preserve"> к указанному техническому регламенту:</w:t>
      </w:r>
      <w:r>
        <w:br/>
      </w:r>
      <w:r>
        <w:rPr>
          <w:rFonts w:ascii="Times New Roman"/>
          <w:b w:val="false"/>
          <w:i w:val="false"/>
          <w:color w:val="000000"/>
          <w:sz w:val="28"/>
        </w:rPr>
        <w:t>
      таблицу дополнить позициями 113 и 114 следующего содержания:</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3093"/>
        <w:gridCol w:w="5053"/>
        <w:gridCol w:w="873"/>
      </w:tblGrid>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Оснащение устройством вызова экстренных оперативных служб</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bscript"/>
              </w:rPr>
              <w:t>1</w:t>
            </w:r>
            <w:r>
              <w:rPr>
                <w:rFonts w:ascii="Times New Roman"/>
                <w:b w:val="false"/>
                <w:i w:val="false"/>
                <w:color w:val="000000"/>
                <w:sz w:val="20"/>
              </w:rPr>
              <w:t xml:space="preserve"> и N</w:t>
            </w:r>
            <w:r>
              <w:rPr>
                <w:rFonts w:ascii="Times New Roman"/>
                <w:b w:val="false"/>
                <w:i w:val="false"/>
                <w:color w:val="000000"/>
                <w:vertAlign w:val="subscript"/>
              </w:rPr>
              <w:t>1</w:t>
            </w:r>
            <w:r>
              <w:rPr>
                <w:rFonts w:ascii="Times New Roman"/>
                <w:b w:val="false"/>
                <w:i w:val="false"/>
                <w:color w:val="000000"/>
                <w:sz w:val="20"/>
              </w:rPr>
              <w:t>,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3</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16 Приложения № 3 к настоящему техническому регламенту (с 2015 г.) (с 2016 г.) (с 2017 г.)</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Оснащение системой вызова экстренных оперативных служб</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bscript"/>
              </w:rPr>
              <w:t>1</w:t>
            </w:r>
            <w:r>
              <w:rPr>
                <w:rFonts w:ascii="Times New Roman"/>
                <w:b w:val="false"/>
                <w:i w:val="false"/>
                <w:color w:val="000000"/>
                <w:sz w:val="20"/>
              </w:rPr>
              <w:t xml:space="preserve"> и N</w:t>
            </w:r>
            <w:r>
              <w:rPr>
                <w:rFonts w:ascii="Times New Roman"/>
                <w:b w:val="false"/>
                <w:i w:val="false"/>
                <w:color w:val="000000"/>
                <w:vertAlign w:val="subscript"/>
              </w:rPr>
              <w:t>1</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17 Приложения № 3 к настоящему техническому регламенту (с 2015 г.) (с 2017 г.)</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21" w:id="8"/>
    <w:p>
      <w:pPr>
        <w:spacing w:after="0"/>
        <w:ind w:left="0"/>
        <w:jc w:val="both"/>
      </w:pPr>
      <w:r>
        <w:rPr>
          <w:rFonts w:ascii="Times New Roman"/>
          <w:b w:val="false"/>
          <w:i w:val="false"/>
          <w:color w:val="000000"/>
          <w:sz w:val="28"/>
        </w:rPr>
        <w:t>
      примечания дополнить пунктом 37 следующего содержания:</w:t>
      </w:r>
      <w:r>
        <w:br/>
      </w:r>
      <w:r>
        <w:rPr>
          <w:rFonts w:ascii="Times New Roman"/>
          <w:b w:val="false"/>
          <w:i w:val="false"/>
          <w:color w:val="000000"/>
          <w:sz w:val="28"/>
        </w:rPr>
        <w:t>
      «37) Требования распространяются на транспортные средства, используемые для коммерческой перевозки пассажиров, специально предназначенные для перевозки детей в возрасте от 6 до 16 лет и перевозки опасных грузов, твердых бытовых отходов и мусора (мусоровозы), а также на тягачи, используемые для буксировки прицепов, перевозящих опасные грузы.».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Приложение № 3</w:t>
      </w:r>
      <w:r>
        <w:rPr>
          <w:rFonts w:ascii="Times New Roman"/>
          <w:b w:val="false"/>
          <w:i w:val="false"/>
          <w:color w:val="000000"/>
          <w:sz w:val="28"/>
        </w:rPr>
        <w:t xml:space="preserve"> к указанному техническому регламенту дополнить пунктами 16 и 17 следующего содержания:</w:t>
      </w:r>
      <w:r>
        <w:br/>
      </w:r>
      <w:r>
        <w:rPr>
          <w:rFonts w:ascii="Times New Roman"/>
          <w:b w:val="false"/>
          <w:i w:val="false"/>
          <w:color w:val="000000"/>
          <w:sz w:val="28"/>
        </w:rPr>
        <w:t>
      «16. Требования к транспортным средствам в отношении установки устройства вызова экстренных оперативных служб</w:t>
      </w:r>
      <w:r>
        <w:br/>
      </w:r>
      <w:r>
        <w:rPr>
          <w:rFonts w:ascii="Times New Roman"/>
          <w:b w:val="false"/>
          <w:i w:val="false"/>
          <w:color w:val="000000"/>
          <w:sz w:val="28"/>
        </w:rPr>
        <w:t>
      16.1. Транспортные средства категорий М</w:t>
      </w:r>
      <w:r>
        <w:rPr>
          <w:rFonts w:ascii="Times New Roman"/>
          <w:b w:val="false"/>
          <w:i w:val="false"/>
          <w:color w:val="000000"/>
          <w:vertAlign w:val="subscript"/>
        </w:rPr>
        <w:t>1</w:t>
      </w:r>
      <w:r>
        <w:rPr>
          <w:rFonts w:ascii="Times New Roman"/>
          <w:b w:val="false"/>
          <w:i w:val="false"/>
          <w:color w:val="000000"/>
          <w:sz w:val="28"/>
        </w:rPr>
        <w:t xml:space="preserve"> и N</w:t>
      </w:r>
      <w:r>
        <w:rPr>
          <w:rFonts w:ascii="Times New Roman"/>
          <w:b w:val="false"/>
          <w:i w:val="false"/>
          <w:color w:val="000000"/>
          <w:vertAlign w:val="subscript"/>
        </w:rPr>
        <w:t>1</w:t>
      </w:r>
      <w:r>
        <w:rPr>
          <w:rFonts w:ascii="Times New Roman"/>
          <w:b w:val="false"/>
          <w:i w:val="false"/>
          <w:color w:val="000000"/>
          <w:sz w:val="28"/>
        </w:rPr>
        <w:t>, М</w:t>
      </w:r>
      <w:r>
        <w:rPr>
          <w:rFonts w:ascii="Times New Roman"/>
          <w:b w:val="false"/>
          <w:i w:val="false"/>
          <w:color w:val="000000"/>
          <w:vertAlign w:val="subscript"/>
        </w:rPr>
        <w:t>2</w:t>
      </w:r>
      <w:r>
        <w:rPr>
          <w:rFonts w:ascii="Times New Roman"/>
          <w:b w:val="false"/>
          <w:i w:val="false"/>
          <w:color w:val="000000"/>
          <w:sz w:val="28"/>
        </w:rPr>
        <w:t>, М</w:t>
      </w:r>
      <w:r>
        <w:rPr>
          <w:rFonts w:ascii="Times New Roman"/>
          <w:b w:val="false"/>
          <w:i w:val="false"/>
          <w:color w:val="000000"/>
          <w:vertAlign w:val="subscript"/>
        </w:rPr>
        <w:t>3</w:t>
      </w: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xml:space="preserve"> и N</w:t>
      </w:r>
      <w:r>
        <w:rPr>
          <w:rFonts w:ascii="Times New Roman"/>
          <w:b w:val="false"/>
          <w:i w:val="false"/>
          <w:color w:val="000000"/>
          <w:vertAlign w:val="subscript"/>
        </w:rPr>
        <w:t>3</w:t>
      </w:r>
      <w:r>
        <w:rPr>
          <w:rFonts w:ascii="Times New Roman"/>
          <w:b w:val="false"/>
          <w:i w:val="false"/>
          <w:color w:val="000000"/>
          <w:sz w:val="28"/>
        </w:rPr>
        <w:t xml:space="preserve"> должны комплектоваться устройством вызова экстренных оперативных служб (далее – устройство), соответствующим требованиям пункта 118 приложения № 10 к настоящему техническому регламенту.</w:t>
      </w:r>
      <w:r>
        <w:br/>
      </w:r>
      <w:r>
        <w:rPr>
          <w:rFonts w:ascii="Times New Roman"/>
          <w:b w:val="false"/>
          <w:i w:val="false"/>
          <w:color w:val="000000"/>
          <w:sz w:val="28"/>
        </w:rPr>
        <w:t>
      16.2. Устройство должно обеспечивать:</w:t>
      </w:r>
      <w:r>
        <w:br/>
      </w:r>
      <w:r>
        <w:rPr>
          <w:rFonts w:ascii="Times New Roman"/>
          <w:b w:val="false"/>
          <w:i w:val="false"/>
          <w:color w:val="000000"/>
          <w:sz w:val="28"/>
        </w:rPr>
        <w:t>
      16.2.1. Передачу сообщения о транспортном средстве, его текущем</w:t>
      </w:r>
      <w:r>
        <w:br/>
      </w:r>
      <w:r>
        <w:rPr>
          <w:rFonts w:ascii="Times New Roman"/>
          <w:b w:val="false"/>
          <w:i w:val="false"/>
          <w:color w:val="000000"/>
          <w:sz w:val="28"/>
        </w:rPr>
        <w:t>
      местоположении, направлении и скорости движения после нажатия кнопки экстренного вызова, а с 1 января 2017 г. – также автоматически при опрокидывании транспортного средства;</w:t>
      </w:r>
      <w:r>
        <w:br/>
      </w:r>
      <w:r>
        <w:rPr>
          <w:rFonts w:ascii="Times New Roman"/>
          <w:b w:val="false"/>
          <w:i w:val="false"/>
          <w:color w:val="000000"/>
          <w:sz w:val="28"/>
        </w:rPr>
        <w:t>
      16.2.2. Двустороннюю громкую голосовую связь с экстренными оперативными службами через сети подвижной радиотелефонной связи.</w:t>
      </w:r>
      <w:r>
        <w:br/>
      </w:r>
      <w:r>
        <w:rPr>
          <w:rFonts w:ascii="Times New Roman"/>
          <w:b w:val="false"/>
          <w:i w:val="false"/>
          <w:color w:val="000000"/>
          <w:sz w:val="28"/>
        </w:rPr>
        <w:t>
      16.3. Кнопка вызова экстренных оперативных служб должна устанавливаться в месте, которое находится в зоне прямой видимости с места водителя и сидящего впереди пассажира – мужчин 50-перцентильного уровня репрезентативности (если конструкция транспортного средства предусматривает нахождение сидящего впереди пассажира рядом с местом водителя) и обеспечивает возможность досягаемости ими кнопки вызова без отсоединения ремней безопасности.</w:t>
      </w:r>
      <w:r>
        <w:br/>
      </w:r>
      <w:r>
        <w:rPr>
          <w:rFonts w:ascii="Times New Roman"/>
          <w:b w:val="false"/>
          <w:i w:val="false"/>
          <w:color w:val="000000"/>
          <w:sz w:val="28"/>
        </w:rPr>
        <w:t>
      16.4. Кнопка вызова экстренных оперативных служб должна иметь защиту от непреднамеренного нажатия механическим способом.</w:t>
      </w:r>
      <w:r>
        <w:br/>
      </w:r>
      <w:r>
        <w:rPr>
          <w:rFonts w:ascii="Times New Roman"/>
          <w:b w:val="false"/>
          <w:i w:val="false"/>
          <w:color w:val="000000"/>
          <w:sz w:val="28"/>
        </w:rPr>
        <w:t>
      16.5.Кнопка вызова экстренных оперативных служб должна быть обеспечена подсветкой.</w:t>
      </w:r>
      <w:r>
        <w:br/>
      </w:r>
      <w:r>
        <w:rPr>
          <w:rFonts w:ascii="Times New Roman"/>
          <w:b w:val="false"/>
          <w:i w:val="false"/>
          <w:color w:val="000000"/>
          <w:sz w:val="28"/>
        </w:rPr>
        <w:t>
      16.6. Оптический индикатор состояния устройства красного цвета постоянного (немигающего) свечения, видимый в том числе в светлое время суток, размещается в области прямой видимости с места водителя и сидящего впереди пассажира, удовлетворяющих критериям, установленным пунктом 16.3. Указанный индикатор включается:</w:t>
      </w:r>
      <w:r>
        <w:br/>
      </w:r>
      <w:r>
        <w:rPr>
          <w:rFonts w:ascii="Times New Roman"/>
          <w:b w:val="false"/>
          <w:i w:val="false"/>
          <w:color w:val="000000"/>
          <w:sz w:val="28"/>
        </w:rPr>
        <w:t>
      кратковременно (от 3 до 10 секунд) при подаче электроэнергии на электрическое оборудование транспортного средства при переводе включателя зажигания (пускового переключателя) в положение «включено» (рабочее положение);</w:t>
      </w:r>
      <w:r>
        <w:br/>
      </w:r>
      <w:r>
        <w:rPr>
          <w:rFonts w:ascii="Times New Roman"/>
          <w:b w:val="false"/>
          <w:i w:val="false"/>
          <w:color w:val="000000"/>
          <w:sz w:val="28"/>
        </w:rPr>
        <w:t>
      при возникновении (наличии) неисправности в системе, не позволяющей выполнять требования пункта 16.2, и остается включенным в течение всего времени наличия неисправности при нахождении включателя зажигания (пускового переключателя) в положении «включено» (рабочем положении).</w:t>
      </w:r>
      <w:r>
        <w:br/>
      </w:r>
      <w:r>
        <w:rPr>
          <w:rFonts w:ascii="Times New Roman"/>
          <w:b w:val="false"/>
          <w:i w:val="false"/>
          <w:color w:val="000000"/>
          <w:sz w:val="28"/>
        </w:rPr>
        <w:t>
      Допускается отсутствие оптического индикатора, удовлетворяющего указанным требованиям, в случае обеспечения возможности подтверждения исправности устройства при каждой подаче электроэнергии на электрическое оборудование транспортного средства при переводе включателя зажигания (пускового переключателя) в положение «включено» (рабочее положение) посредством использования другого оптического индикатора, а также выведения на комбинацию приборов текстового сообщения о неисправности устройства, которое сохраняется в течение всего времени наличия неисправности при нахождении включателя зажигания (пускового переключателя) в положении «включено» (рабочем положении).</w:t>
      </w:r>
      <w:r>
        <w:br/>
      </w:r>
      <w:r>
        <w:rPr>
          <w:rFonts w:ascii="Times New Roman"/>
          <w:b w:val="false"/>
          <w:i w:val="false"/>
          <w:color w:val="000000"/>
          <w:sz w:val="28"/>
        </w:rPr>
        <w:t>
      16.7. Кнопка вызова экстренных оперативных служб и индикатор состояния устройства должны иметь идентифицирующие их символы. Индикатор состояния устройства может конструктивно совмещаться с кнопкой вызова экстренных оперативных служб.</w:t>
      </w:r>
      <w:r>
        <w:br/>
      </w:r>
      <w:r>
        <w:rPr>
          <w:rFonts w:ascii="Times New Roman"/>
          <w:b w:val="false"/>
          <w:i w:val="false"/>
          <w:color w:val="000000"/>
          <w:sz w:val="28"/>
        </w:rPr>
        <w:t>
      17. Требования к транспортным средствам в отношении установки системы вызова экстренных оперативных служб</w:t>
      </w:r>
      <w:r>
        <w:br/>
      </w:r>
      <w:r>
        <w:rPr>
          <w:rFonts w:ascii="Times New Roman"/>
          <w:b w:val="false"/>
          <w:i w:val="false"/>
          <w:color w:val="000000"/>
          <w:sz w:val="28"/>
        </w:rPr>
        <w:t>
      17.1. Транспортные средства категорий М</w:t>
      </w:r>
      <w:r>
        <w:rPr>
          <w:rFonts w:ascii="Times New Roman"/>
          <w:b w:val="false"/>
          <w:i w:val="false"/>
          <w:color w:val="000000"/>
          <w:vertAlign w:val="subscript"/>
        </w:rPr>
        <w:t>1</w:t>
      </w:r>
      <w:r>
        <w:rPr>
          <w:rFonts w:ascii="Times New Roman"/>
          <w:b w:val="false"/>
          <w:i w:val="false"/>
          <w:color w:val="000000"/>
          <w:sz w:val="28"/>
        </w:rPr>
        <w:t xml:space="preserve"> и N</w:t>
      </w:r>
      <w:r>
        <w:rPr>
          <w:rFonts w:ascii="Times New Roman"/>
          <w:b w:val="false"/>
          <w:i w:val="false"/>
          <w:color w:val="000000"/>
          <w:vertAlign w:val="subscript"/>
        </w:rPr>
        <w:t>1</w:t>
      </w:r>
      <w:r>
        <w:rPr>
          <w:rFonts w:ascii="Times New Roman"/>
          <w:b w:val="false"/>
          <w:i w:val="false"/>
          <w:color w:val="000000"/>
          <w:sz w:val="28"/>
        </w:rPr>
        <w:t>, на которые распространяется действие Правил ЕЭК ООН № 94 – 01 и № 95 – 02, должны комплектоваться системой вызова экстренных оперативных служб (далее – система), удовлетворяющей требованиям пунктов 16.2 – 16.7 настоящего приложения, а также пункта 118 приложения № 10 к настоящему техническому регламенту.</w:t>
      </w:r>
      <w:r>
        <w:br/>
      </w:r>
      <w:r>
        <w:rPr>
          <w:rFonts w:ascii="Times New Roman"/>
          <w:b w:val="false"/>
          <w:i w:val="false"/>
          <w:color w:val="000000"/>
          <w:sz w:val="28"/>
        </w:rPr>
        <w:t xml:space="preserve">
      17.2. Система должна дополнительно обеспечивать: </w:t>
      </w:r>
      <w:r>
        <w:br/>
      </w:r>
      <w:r>
        <w:rPr>
          <w:rFonts w:ascii="Times New Roman"/>
          <w:b w:val="false"/>
          <w:i w:val="false"/>
          <w:color w:val="000000"/>
          <w:sz w:val="28"/>
        </w:rPr>
        <w:t>
      17.2.1.Передачу сообщения о транспортном средстве автоматически при срабатывании подушки (подушек) безопасности или по сигналу датчика (датчиков) других компонентов системы пассивной безопасности либо других систем транспортного средства, определяющего (определяющих) уровень замедления транспортного средства при проведении испытаний, предусмотренных Правилами ЕЭК ООН № 94 – 01 и № 95 – 02 (для транспортных средств, на которые распространяется действие указанных Правил);</w:t>
      </w:r>
      <w:r>
        <w:br/>
      </w:r>
      <w:r>
        <w:rPr>
          <w:rFonts w:ascii="Times New Roman"/>
          <w:b w:val="false"/>
          <w:i w:val="false"/>
          <w:color w:val="000000"/>
          <w:sz w:val="28"/>
        </w:rPr>
        <w:t>
      17.2.2. После проведения указанных в пункте 17.2.1 испытаний сохранение работоспособности и двустороннюю голосовую связь с экстренными оперативными службами.</w:t>
      </w:r>
      <w:r>
        <w:br/>
      </w:r>
      <w:r>
        <w:rPr>
          <w:rFonts w:ascii="Times New Roman"/>
          <w:b w:val="false"/>
          <w:i w:val="false"/>
          <w:color w:val="000000"/>
          <w:sz w:val="28"/>
        </w:rPr>
        <w:t>
      17.3. В целях выполнения требований пункта 17.2.1 транспортные средства должны оснащаться по меньшей мере подушкой безопасности водителя.».</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Приложение № 4</w:t>
      </w:r>
      <w:r>
        <w:rPr>
          <w:rFonts w:ascii="Times New Roman"/>
          <w:b w:val="false"/>
          <w:i w:val="false"/>
          <w:color w:val="000000"/>
          <w:sz w:val="28"/>
        </w:rPr>
        <w:t xml:space="preserve"> к указанному техническому регламенту дополнить пунктом 5 следующего содержания:</w:t>
      </w:r>
      <w:r>
        <w:br/>
      </w:r>
      <w:r>
        <w:rPr>
          <w:rFonts w:ascii="Times New Roman"/>
          <w:b w:val="false"/>
          <w:i w:val="false"/>
          <w:color w:val="000000"/>
          <w:sz w:val="28"/>
        </w:rPr>
        <w:t>
      «5. Требования к транспортным средствам в отношении установки устройства (системы) вызова экстренных оперативных служб</w:t>
      </w:r>
      <w:r>
        <w:br/>
      </w:r>
      <w:r>
        <w:rPr>
          <w:rFonts w:ascii="Times New Roman"/>
          <w:b w:val="false"/>
          <w:i w:val="false"/>
          <w:color w:val="000000"/>
          <w:sz w:val="28"/>
        </w:rPr>
        <w:t>
      5.1. Транспортные средства категорий М</w:t>
      </w:r>
      <w:r>
        <w:rPr>
          <w:rFonts w:ascii="Times New Roman"/>
          <w:b w:val="false"/>
          <w:i w:val="false"/>
          <w:color w:val="000000"/>
          <w:vertAlign w:val="subscript"/>
        </w:rPr>
        <w:t>1</w:t>
      </w:r>
      <w:r>
        <w:rPr>
          <w:rFonts w:ascii="Times New Roman"/>
          <w:b w:val="false"/>
          <w:i w:val="false"/>
          <w:color w:val="000000"/>
          <w:sz w:val="28"/>
        </w:rPr>
        <w:t xml:space="preserve"> и N</w:t>
      </w:r>
      <w:r>
        <w:rPr>
          <w:rFonts w:ascii="Times New Roman"/>
          <w:b w:val="false"/>
          <w:i w:val="false"/>
          <w:color w:val="000000"/>
          <w:vertAlign w:val="subscript"/>
        </w:rPr>
        <w:t>1</w:t>
      </w:r>
      <w:r>
        <w:rPr>
          <w:rFonts w:ascii="Times New Roman"/>
          <w:b w:val="false"/>
          <w:i w:val="false"/>
          <w:color w:val="000000"/>
          <w:sz w:val="28"/>
        </w:rPr>
        <w:t>, М</w:t>
      </w:r>
      <w:r>
        <w:rPr>
          <w:rFonts w:ascii="Times New Roman"/>
          <w:b w:val="false"/>
          <w:i w:val="false"/>
          <w:color w:val="000000"/>
          <w:vertAlign w:val="subscript"/>
        </w:rPr>
        <w:t>2</w:t>
      </w:r>
      <w:r>
        <w:rPr>
          <w:rFonts w:ascii="Times New Roman"/>
          <w:b w:val="false"/>
          <w:i w:val="false"/>
          <w:color w:val="000000"/>
          <w:sz w:val="28"/>
        </w:rPr>
        <w:t>, М</w:t>
      </w:r>
      <w:r>
        <w:rPr>
          <w:rFonts w:ascii="Times New Roman"/>
          <w:b w:val="false"/>
          <w:i w:val="false"/>
          <w:color w:val="000000"/>
          <w:vertAlign w:val="subscript"/>
        </w:rPr>
        <w:t>3</w:t>
      </w: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xml:space="preserve"> и N</w:t>
      </w:r>
      <w:r>
        <w:rPr>
          <w:rFonts w:ascii="Times New Roman"/>
          <w:b w:val="false"/>
          <w:i w:val="false"/>
          <w:color w:val="000000"/>
          <w:vertAlign w:val="subscript"/>
        </w:rPr>
        <w:t>3</w:t>
      </w:r>
      <w:r>
        <w:rPr>
          <w:rFonts w:ascii="Times New Roman"/>
          <w:b w:val="false"/>
          <w:i w:val="false"/>
          <w:color w:val="000000"/>
          <w:sz w:val="28"/>
        </w:rPr>
        <w:t xml:space="preserve"> должны комплектоваться устройством вызова экстренных оперативных служб (далее – устройство), соответствующим требованиям пункта 118 приложения № 10 к настоящему техническому регламенту.</w:t>
      </w:r>
      <w:r>
        <w:br/>
      </w:r>
      <w:r>
        <w:rPr>
          <w:rFonts w:ascii="Times New Roman"/>
          <w:b w:val="false"/>
          <w:i w:val="false"/>
          <w:color w:val="000000"/>
          <w:sz w:val="28"/>
        </w:rPr>
        <w:t>
      Устройство должно обеспечивать выполнение требований, установленных пунктом 16 приложения № 3 к настоящему техническому регламенту.</w:t>
      </w:r>
      <w:r>
        <w:br/>
      </w:r>
      <w:r>
        <w:rPr>
          <w:rFonts w:ascii="Times New Roman"/>
          <w:b w:val="false"/>
          <w:i w:val="false"/>
          <w:color w:val="000000"/>
          <w:sz w:val="28"/>
        </w:rPr>
        <w:t>
      5.2. Транспортные средства категорий М</w:t>
      </w:r>
      <w:r>
        <w:rPr>
          <w:rFonts w:ascii="Times New Roman"/>
          <w:b w:val="false"/>
          <w:i w:val="false"/>
          <w:color w:val="000000"/>
          <w:vertAlign w:val="subscript"/>
        </w:rPr>
        <w:t>1</w:t>
      </w:r>
      <w:r>
        <w:rPr>
          <w:rFonts w:ascii="Times New Roman"/>
          <w:b w:val="false"/>
          <w:i w:val="false"/>
          <w:color w:val="000000"/>
          <w:sz w:val="28"/>
        </w:rPr>
        <w:t xml:space="preserve"> и N</w:t>
      </w:r>
      <w:r>
        <w:rPr>
          <w:rFonts w:ascii="Times New Roman"/>
          <w:b w:val="false"/>
          <w:i w:val="false"/>
          <w:color w:val="000000"/>
          <w:vertAlign w:val="subscript"/>
        </w:rPr>
        <w:t>1</w:t>
      </w:r>
      <w:r>
        <w:rPr>
          <w:rFonts w:ascii="Times New Roman"/>
          <w:b w:val="false"/>
          <w:i w:val="false"/>
          <w:color w:val="000000"/>
          <w:sz w:val="28"/>
        </w:rPr>
        <w:t xml:space="preserve"> должны комплектоваться системой вызова экстренных оперативных служб (далее – система).</w:t>
      </w:r>
      <w:r>
        <w:br/>
      </w:r>
      <w:r>
        <w:rPr>
          <w:rFonts w:ascii="Times New Roman"/>
          <w:b w:val="false"/>
          <w:i w:val="false"/>
          <w:color w:val="000000"/>
          <w:sz w:val="28"/>
        </w:rPr>
        <w:t>
      Система должна обеспечивать выполнение требований, установленных пунктом 17 приложения № 3 к настоящему техническому регламенту.</w:t>
      </w:r>
      <w:r>
        <w:br/>
      </w:r>
      <w:r>
        <w:rPr>
          <w:rFonts w:ascii="Times New Roman"/>
          <w:b w:val="false"/>
          <w:i w:val="false"/>
          <w:color w:val="000000"/>
          <w:sz w:val="28"/>
        </w:rPr>
        <w:t>
      5.3. Требования, установленные пунктом 5 настоящего приложения, применяются:</w:t>
      </w:r>
      <w:r>
        <w:br/>
      </w:r>
      <w:r>
        <w:rPr>
          <w:rFonts w:ascii="Times New Roman"/>
          <w:b w:val="false"/>
          <w:i w:val="false"/>
          <w:color w:val="000000"/>
          <w:sz w:val="28"/>
        </w:rPr>
        <w:t>
      с 1 января 2016 г. – в отношении транспортных средств категорий М</w:t>
      </w:r>
      <w:r>
        <w:rPr>
          <w:rFonts w:ascii="Times New Roman"/>
          <w:b w:val="false"/>
          <w:i w:val="false"/>
          <w:color w:val="000000"/>
          <w:vertAlign w:val="subscript"/>
        </w:rPr>
        <w:t>1</w:t>
      </w:r>
      <w:r>
        <w:rPr>
          <w:rFonts w:ascii="Times New Roman"/>
          <w:b w:val="false"/>
          <w:i w:val="false"/>
          <w:color w:val="000000"/>
          <w:sz w:val="28"/>
        </w:rPr>
        <w:t xml:space="preserve"> и N</w:t>
      </w:r>
      <w:r>
        <w:rPr>
          <w:rFonts w:ascii="Times New Roman"/>
          <w:b w:val="false"/>
          <w:i w:val="false"/>
          <w:color w:val="000000"/>
          <w:vertAlign w:val="subscript"/>
        </w:rPr>
        <w:t>1</w:t>
      </w:r>
      <w:r>
        <w:rPr>
          <w:rFonts w:ascii="Times New Roman"/>
          <w:b w:val="false"/>
          <w:i w:val="false"/>
          <w:color w:val="000000"/>
          <w:sz w:val="28"/>
        </w:rPr>
        <w:t>, М</w:t>
      </w:r>
      <w:r>
        <w:rPr>
          <w:rFonts w:ascii="Times New Roman"/>
          <w:b w:val="false"/>
          <w:i w:val="false"/>
          <w:color w:val="000000"/>
          <w:vertAlign w:val="subscript"/>
        </w:rPr>
        <w:t>2</w:t>
      </w:r>
      <w:r>
        <w:rPr>
          <w:rFonts w:ascii="Times New Roman"/>
          <w:b w:val="false"/>
          <w:i w:val="false"/>
          <w:color w:val="000000"/>
          <w:sz w:val="28"/>
        </w:rPr>
        <w:t>, М</w:t>
      </w:r>
      <w:r>
        <w:rPr>
          <w:rFonts w:ascii="Times New Roman"/>
          <w:b w:val="false"/>
          <w:i w:val="false"/>
          <w:color w:val="000000"/>
          <w:vertAlign w:val="subscript"/>
        </w:rPr>
        <w:t>3</w:t>
      </w: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xml:space="preserve"> и N</w:t>
      </w:r>
      <w:r>
        <w:rPr>
          <w:rFonts w:ascii="Times New Roman"/>
          <w:b w:val="false"/>
          <w:i w:val="false"/>
          <w:color w:val="000000"/>
          <w:vertAlign w:val="subscript"/>
        </w:rPr>
        <w:t>3</w:t>
      </w:r>
      <w:r>
        <w:rPr>
          <w:rFonts w:ascii="Times New Roman"/>
          <w:b w:val="false"/>
          <w:i w:val="false"/>
          <w:color w:val="000000"/>
          <w:sz w:val="28"/>
        </w:rPr>
        <w:t>, используемых для коммерческой перевозки пассажиров, специально предназначенных для перевозки детей в возрасте от 6 до 16 лет, а также для перевозки опасных грузов, тягачей, используемых для буксировки прицепов, перевозящих опасные грузы;</w:t>
      </w:r>
      <w:r>
        <w:br/>
      </w:r>
      <w:r>
        <w:rPr>
          <w:rFonts w:ascii="Times New Roman"/>
          <w:b w:val="false"/>
          <w:i w:val="false"/>
          <w:color w:val="000000"/>
          <w:sz w:val="28"/>
        </w:rPr>
        <w:t>
      с 1 января 2017 г. – в отношении всех транспортных средств категорий М и N.».</w:t>
      </w:r>
      <w:r>
        <w:br/>
      </w:r>
      <w:r>
        <w:rPr>
          <w:rFonts w:ascii="Times New Roman"/>
          <w:b w:val="false"/>
          <w:i w:val="false"/>
          <w:color w:val="000000"/>
          <w:sz w:val="28"/>
        </w:rPr>
        <w:t>
</w:t>
      </w:r>
      <w:r>
        <w:rPr>
          <w:rFonts w:ascii="Times New Roman"/>
          <w:b w:val="false"/>
          <w:i w:val="false"/>
          <w:color w:val="000000"/>
          <w:sz w:val="28"/>
        </w:rPr>
        <w:t>
      8. Приложение № 8 к указанному техническому регламенту дополнить пунктами 10.20 и 10.21 следующего содержания:</w:t>
      </w:r>
      <w:r>
        <w:br/>
      </w:r>
      <w:r>
        <w:rPr>
          <w:rFonts w:ascii="Times New Roman"/>
          <w:b w:val="false"/>
          <w:i w:val="false"/>
          <w:color w:val="000000"/>
          <w:sz w:val="28"/>
        </w:rPr>
        <w:t>
      «10.20. Установленные на транспортном средстве устройство или система вызова экстренных оперативных служб должны быть работоспособными.</w:t>
      </w:r>
      <w:r>
        <w:br/>
      </w:r>
      <w:r>
        <w:rPr>
          <w:rFonts w:ascii="Times New Roman"/>
          <w:b w:val="false"/>
          <w:i w:val="false"/>
          <w:color w:val="000000"/>
          <w:sz w:val="28"/>
        </w:rPr>
        <w:t>
      10.21. Установленная на транспортном средстве аппаратура спутниковой навигации должна быть работоспособной.».</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Приложение № 10</w:t>
      </w:r>
      <w:r>
        <w:rPr>
          <w:rFonts w:ascii="Times New Roman"/>
          <w:b w:val="false"/>
          <w:i w:val="false"/>
          <w:color w:val="000000"/>
          <w:sz w:val="28"/>
        </w:rPr>
        <w:t xml:space="preserve"> к указанному техническому регламенту дополнить позициями 117 и 118 следующего содержания:</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5"/>
        <w:gridCol w:w="9915"/>
      </w:tblGrid>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Аппаратура спутниковой навигации</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 Правила ЕЭК ООН № 10 - 03.</w:t>
            </w:r>
            <w:r>
              <w:br/>
            </w:r>
            <w:r>
              <w:rPr>
                <w:rFonts w:ascii="Times New Roman"/>
                <w:b w:val="false"/>
                <w:i w:val="false"/>
                <w:color w:val="000000"/>
                <w:sz w:val="20"/>
              </w:rPr>
              <w:t>
Должны обеспечиваться:</w:t>
            </w:r>
            <w:r>
              <w:br/>
            </w:r>
            <w:r>
              <w:rPr>
                <w:rFonts w:ascii="Times New Roman"/>
                <w:b w:val="false"/>
                <w:i w:val="false"/>
                <w:color w:val="000000"/>
                <w:sz w:val="20"/>
              </w:rPr>
              <w:t>
наличие персональной универсальной многопрофильной идентификационной карты абонента для работы в сетях подвижной радиотелефонной связи стандартов GSM 900 и GSM 1800;возможность обновления информации, хранящейся на персональной универсальной многопрофильной идентификационной карте абонента, по сетям подвижной радиотелефонной связи стандартов GSM 900 и GSM 1800;</w:t>
            </w:r>
            <w:r>
              <w:br/>
            </w:r>
            <w:r>
              <w:rPr>
                <w:rFonts w:ascii="Times New Roman"/>
                <w:b w:val="false"/>
                <w:i w:val="false"/>
                <w:color w:val="000000"/>
                <w:sz w:val="20"/>
              </w:rPr>
              <w:t>
возможность осуществления голосовой связи в режиме громкой связи по сетям подвижной радиотелефонной связи стандартов GSM 900 и GSM 1800;</w:t>
            </w:r>
            <w:r>
              <w:br/>
            </w:r>
            <w:r>
              <w:rPr>
                <w:rFonts w:ascii="Times New Roman"/>
                <w:b w:val="false"/>
                <w:i w:val="false"/>
                <w:color w:val="000000"/>
                <w:sz w:val="20"/>
              </w:rPr>
              <w:t>
индикация состояния аппаратуры;</w:t>
            </w:r>
            <w:r>
              <w:br/>
            </w:r>
            <w:r>
              <w:rPr>
                <w:rFonts w:ascii="Times New Roman"/>
                <w:b w:val="false"/>
                <w:i w:val="false"/>
                <w:color w:val="000000"/>
                <w:sz w:val="20"/>
              </w:rPr>
              <w:t>
возможность передачи и приема информации по сетям подвижной радиотелефонной связи стандартов GSM 900 и GSM 1800 посредством пакетной передачи данных или коротких текстовых сообщений;</w:t>
            </w:r>
            <w:r>
              <w:br/>
            </w:r>
            <w:r>
              <w:rPr>
                <w:rFonts w:ascii="Times New Roman"/>
                <w:b w:val="false"/>
                <w:i w:val="false"/>
                <w:color w:val="000000"/>
                <w:sz w:val="20"/>
              </w:rPr>
              <w:t>
возможность использования интерфейсов RS232, RS485, CAN и USB для обмена данными с внешними устройствами и наличие не менее двух дискретных и двух аналоговых входов;</w:t>
            </w:r>
            <w:r>
              <w:br/>
            </w:r>
            <w:r>
              <w:rPr>
                <w:rFonts w:ascii="Times New Roman"/>
                <w:b w:val="false"/>
                <w:i w:val="false"/>
                <w:color w:val="000000"/>
                <w:sz w:val="20"/>
              </w:rPr>
              <w:t>
определение местоположения транспортного средства с погрешностью не более 15 м по координатным осям и скорости транспортного средства с погрешностью не более 0,1 м/с при доверительной вероятности 0,95;</w:t>
            </w:r>
            <w:r>
              <w:br/>
            </w:r>
            <w:r>
              <w:rPr>
                <w:rFonts w:ascii="Times New Roman"/>
                <w:b w:val="false"/>
                <w:i w:val="false"/>
                <w:color w:val="000000"/>
                <w:sz w:val="20"/>
              </w:rPr>
              <w:t>
объем внутренней энергонезависимой памяти, обеспечивающий запись:</w:t>
            </w:r>
            <w:r>
              <w:br/>
            </w:r>
            <w:r>
              <w:rPr>
                <w:rFonts w:ascii="Times New Roman"/>
                <w:b w:val="false"/>
                <w:i w:val="false"/>
                <w:color w:val="000000"/>
                <w:sz w:val="20"/>
              </w:rPr>
              <w:t>
для транспортных средств категории М - не менее 150 000 последовательно зарегистрированных событий;</w:t>
            </w:r>
            <w:r>
              <w:br/>
            </w:r>
            <w:r>
              <w:rPr>
                <w:rFonts w:ascii="Times New Roman"/>
                <w:b w:val="false"/>
                <w:i w:val="false"/>
                <w:color w:val="000000"/>
                <w:sz w:val="20"/>
              </w:rPr>
              <w:t>
для транспортных средств категории N - не менее 20 000 последовательно зарегистрированных событий;</w:t>
            </w:r>
            <w:r>
              <w:br/>
            </w:r>
            <w:r>
              <w:rPr>
                <w:rFonts w:ascii="Times New Roman"/>
                <w:b w:val="false"/>
                <w:i w:val="false"/>
                <w:color w:val="000000"/>
                <w:sz w:val="20"/>
              </w:rPr>
              <w:t>
сохранение во внутренней памяти сообщений, которые не удалось передать по сетям подвижной радиотелефонной связи стандартов GSM 900 и GSM 1800, и передача этих сообщений при восстановлении связи.</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Устройство вызова экстренных оперативных служб</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 Правила ЕЭК ООН № 10 - 03.</w:t>
            </w:r>
            <w:r>
              <w:br/>
            </w:r>
            <w:r>
              <w:rPr>
                <w:rFonts w:ascii="Times New Roman"/>
                <w:b w:val="false"/>
                <w:i w:val="false"/>
                <w:color w:val="000000"/>
                <w:sz w:val="20"/>
              </w:rPr>
              <w:t xml:space="preserve">
Работоспособность устройства обеспечивается при температуре окружающего воздуха от - 40 </w:t>
            </w:r>
            <w:r>
              <w:rPr>
                <w:rFonts w:ascii="Times New Roman"/>
                <w:b w:val="false"/>
                <w:i w:val="false"/>
                <w:color w:val="000000"/>
                <w:vertAlign w:val="superscript"/>
              </w:rPr>
              <w:t>О</w:t>
            </w:r>
            <w:r>
              <w:rPr>
                <w:rFonts w:ascii="Times New Roman"/>
                <w:b w:val="false"/>
                <w:i w:val="false"/>
                <w:color w:val="000000"/>
                <w:sz w:val="20"/>
              </w:rPr>
              <w:t xml:space="preserve">С до + 85 </w:t>
            </w:r>
            <w:r>
              <w:rPr>
                <w:rFonts w:ascii="Times New Roman"/>
                <w:b w:val="false"/>
                <w:i w:val="false"/>
                <w:color w:val="000000"/>
                <w:vertAlign w:val="superscript"/>
              </w:rPr>
              <w:t>О</w:t>
            </w:r>
            <w:r>
              <w:rPr>
                <w:rFonts w:ascii="Times New Roman"/>
                <w:b w:val="false"/>
                <w:i w:val="false"/>
                <w:color w:val="000000"/>
                <w:sz w:val="20"/>
              </w:rPr>
              <w:t xml:space="preserve">С. Для резервной батареи (при наличии) допускается минимальная рабочая температура не выше - 20 </w:t>
            </w:r>
            <w:r>
              <w:rPr>
                <w:rFonts w:ascii="Times New Roman"/>
                <w:b w:val="false"/>
                <w:i w:val="false"/>
                <w:color w:val="000000"/>
                <w:vertAlign w:val="superscript"/>
              </w:rPr>
              <w:t>О</w:t>
            </w:r>
            <w:r>
              <w:rPr>
                <w:rFonts w:ascii="Times New Roman"/>
                <w:b w:val="false"/>
                <w:i w:val="false"/>
                <w:color w:val="000000"/>
                <w:sz w:val="20"/>
              </w:rPr>
              <w:t>С.</w:t>
            </w:r>
            <w:r>
              <w:br/>
            </w:r>
            <w:r>
              <w:rPr>
                <w:rFonts w:ascii="Times New Roman"/>
                <w:b w:val="false"/>
                <w:i w:val="false"/>
                <w:color w:val="000000"/>
                <w:sz w:val="20"/>
              </w:rPr>
              <w:t>
Работоспособность устройства и его крепления на транспортном средстве сохраняются при нагрузках, возникающих при проведении  динамических испытаний в соответствии с добавлением к Приложению 9 к Правилам ЕЭК ООН № 17.</w:t>
            </w:r>
            <w:r>
              <w:br/>
            </w:r>
            <w:r>
              <w:rPr>
                <w:rFonts w:ascii="Times New Roman"/>
                <w:b w:val="false"/>
                <w:i w:val="false"/>
                <w:color w:val="000000"/>
                <w:sz w:val="20"/>
              </w:rPr>
              <w:t>
Устройство имеет неснимаемую персональную универсальную многопрофильную идентификационную карту абонента для работы в сетях подвижной радиотелефонной связи стандартов GSM 900 и GSM 1800, а также UMTS 900 и UMTS 2000.</w:t>
            </w:r>
            <w:r>
              <w:br/>
            </w:r>
            <w:r>
              <w:rPr>
                <w:rFonts w:ascii="Times New Roman"/>
                <w:b w:val="false"/>
                <w:i w:val="false"/>
                <w:color w:val="000000"/>
                <w:sz w:val="20"/>
              </w:rPr>
              <w:t>
Устройство обеспечивает:</w:t>
            </w:r>
            <w:r>
              <w:br/>
            </w:r>
            <w:r>
              <w:rPr>
                <w:rFonts w:ascii="Times New Roman"/>
                <w:b w:val="false"/>
                <w:i w:val="false"/>
                <w:color w:val="000000"/>
                <w:sz w:val="20"/>
              </w:rPr>
              <w:t>
определение местоположения с погрешностью не более 15 м по координатным осям при доверительной вероятности 0,95;</w:t>
            </w:r>
            <w:r>
              <w:br/>
            </w:r>
            <w:r>
              <w:rPr>
                <w:rFonts w:ascii="Times New Roman"/>
                <w:b w:val="false"/>
                <w:i w:val="false"/>
                <w:color w:val="000000"/>
                <w:sz w:val="20"/>
              </w:rPr>
              <w:t>
установление двухстороннего дуплексного голосового соединения в режиме громкой связи c оператором экстренных оперативных служб;</w:t>
            </w:r>
            <w:r>
              <w:br/>
            </w:r>
            <w:r>
              <w:rPr>
                <w:rFonts w:ascii="Times New Roman"/>
                <w:b w:val="false"/>
                <w:i w:val="false"/>
                <w:color w:val="000000"/>
                <w:sz w:val="20"/>
              </w:rPr>
              <w:t>
передачу сообщения о транспортном средстве с использованием тонального  модема, работающего в сетях подвижной радиотелефонной связи стандартов GSM 900 и GSM 1800, UMTS 900 и UMTS 2000;</w:t>
            </w:r>
            <w:r>
              <w:br/>
            </w:r>
            <w:r>
              <w:rPr>
                <w:rFonts w:ascii="Times New Roman"/>
                <w:b w:val="false"/>
                <w:i w:val="false"/>
                <w:color w:val="000000"/>
                <w:sz w:val="20"/>
              </w:rPr>
              <w:t>
обязательные признаки приоритетности экстренного вызова в сетях  подвижной радиотелефонной связи стандартов GSM 900 и GSM 1800, UMTS 900 и UMTS 2000;</w:t>
            </w:r>
            <w:r>
              <w:br/>
            </w:r>
            <w:r>
              <w:rPr>
                <w:rFonts w:ascii="Times New Roman"/>
                <w:b w:val="false"/>
                <w:i w:val="false"/>
                <w:color w:val="000000"/>
                <w:sz w:val="20"/>
              </w:rPr>
              <w:t>
при невозможности передачи информации с использованием тонального модема, работающего в сетях подвижной радиотелефонной связи, в течение 20 секунд после начала передачи информации – прекращение использования тонального модема и осуществление повторной передачи информации посредством использования коротких  текстовых сообщений (СМС);</w:t>
            </w:r>
            <w:r>
              <w:br/>
            </w:r>
            <w:r>
              <w:rPr>
                <w:rFonts w:ascii="Times New Roman"/>
                <w:b w:val="false"/>
                <w:i w:val="false"/>
                <w:color w:val="000000"/>
                <w:sz w:val="20"/>
              </w:rPr>
              <w:t>
возможность повторной передачи информации с использованием тонального модема, работающего через установленное голосовое соединение, и посредством использования СМС в сетях подвижной радиотелефонной связи стандартов GSM 900 и GSM 1800, UMTS 900 и UMTS 2000;</w:t>
            </w:r>
            <w:r>
              <w:br/>
            </w:r>
            <w:r>
              <w:rPr>
                <w:rFonts w:ascii="Times New Roman"/>
                <w:b w:val="false"/>
                <w:i w:val="false"/>
                <w:color w:val="000000"/>
                <w:sz w:val="20"/>
              </w:rPr>
              <w:t>
после завершения экстренного вызова прием команды на осуществление повторного экстренного вызова, поступающей в виде СМС, и осуществление повторного экстренного вызова в течение настраиваемого промежутка времени;</w:t>
            </w:r>
            <w:r>
              <w:br/>
            </w:r>
            <w:r>
              <w:rPr>
                <w:rFonts w:ascii="Times New Roman"/>
                <w:b w:val="false"/>
                <w:i w:val="false"/>
                <w:color w:val="000000"/>
                <w:sz w:val="20"/>
              </w:rPr>
              <w:t>
отключение при осуществлении экстренного вызова иных средств воспроизведения звука на транспортном средстве на период голосового соединения, за исключением средств специальной связи;</w:t>
            </w:r>
            <w:r>
              <w:br/>
            </w:r>
            <w:r>
              <w:rPr>
                <w:rFonts w:ascii="Times New Roman"/>
                <w:b w:val="false"/>
                <w:i w:val="false"/>
                <w:color w:val="000000"/>
                <w:sz w:val="20"/>
              </w:rPr>
              <w:t>
при невозможности передачи информации посредством использования сетей подвижной радиотелефонной связи стандартов GSM 900 и GSM 1800, UMTS 900 и UMTS 2000 - сохранение в энергонезависимой памяти непереданной информации и передачу ее при восстановлении такой возможности;</w:t>
            </w:r>
            <w:r>
              <w:br/>
            </w:r>
            <w:r>
              <w:rPr>
                <w:rFonts w:ascii="Times New Roman"/>
                <w:b w:val="false"/>
                <w:i w:val="false"/>
                <w:color w:val="000000"/>
                <w:sz w:val="20"/>
              </w:rPr>
              <w:t>
автоматический прием входящих телефонных вызовов в течение не менее 20 минут после завершения экстренного вызова;</w:t>
            </w:r>
            <w:r>
              <w:br/>
            </w:r>
            <w:r>
              <w:rPr>
                <w:rFonts w:ascii="Times New Roman"/>
                <w:b w:val="false"/>
                <w:i w:val="false"/>
                <w:color w:val="000000"/>
                <w:sz w:val="20"/>
              </w:rPr>
              <w:t>
подключение к бортовой электрической сети  транспортного средства, обеспечивающее работу устройства во всех предусмотренных режимах, а также зарядку резервной батареи питания (при наличии);</w:t>
            </w:r>
            <w:r>
              <w:br/>
            </w:r>
            <w:r>
              <w:rPr>
                <w:rFonts w:ascii="Times New Roman"/>
                <w:b w:val="false"/>
                <w:i w:val="false"/>
                <w:color w:val="000000"/>
                <w:sz w:val="20"/>
              </w:rPr>
              <w:t>
при отсутствии питания от бортовой электрической сети – возможность автономной работы за счет использования резервной батареи в течение не менее 60 минут в режиме ожидания обратного звонка и в дальнейшем не менее 10 минут работы в режиме голосовой связи. Срок службы резервной батареи составляет не менее 3 лет;</w:t>
            </w:r>
            <w:r>
              <w:br/>
            </w:r>
            <w:r>
              <w:rPr>
                <w:rFonts w:ascii="Times New Roman"/>
                <w:b w:val="false"/>
                <w:i w:val="false"/>
                <w:color w:val="000000"/>
                <w:sz w:val="20"/>
              </w:rPr>
              <w:t>
возможность проверки своей работоспособности в автоматическом и в ручном режимах и информирование о своей неисправности посредством оптического индикатора состояния устройства или соответствующего сообщения на комбинации приборов;</w:t>
            </w:r>
            <w:r>
              <w:br/>
            </w:r>
            <w:r>
              <w:rPr>
                <w:rFonts w:ascii="Times New Roman"/>
                <w:b w:val="false"/>
                <w:i w:val="false"/>
                <w:color w:val="000000"/>
                <w:sz w:val="20"/>
              </w:rPr>
              <w:t>
возможность передачи результатов тестирования устройства посредством использования сетей подвижной радиотелефонной связи стандартов GSM 900 и GSM 1800, UMTS 900 и UMTS 2000; возможность обновления информации, хранящейся на неснимаемой персональной универсальной многопрофильной идентификационной карте абонента, по сетям подвижной радиотелефонной связи стандартов GSM 900 и GSM 1800, а также UMTS 900 и UMTS 2000; возможность работы с внешними дополнительными устройствами (включая устройства, предназначенные для определения события дорожно- транспортного происшествия), подключаемыми посредством стандартизованного разъема и стандартизованного протокола передачи данных. Физический интерфейс передачи данных обеспечивает скорость передачи данных не менее 62,5 кБит/c.</w:t>
            </w:r>
            <w:r>
              <w:br/>
            </w:r>
            <w:r>
              <w:rPr>
                <w:rFonts w:ascii="Times New Roman"/>
                <w:b w:val="false"/>
                <w:i w:val="false"/>
                <w:color w:val="000000"/>
                <w:sz w:val="20"/>
              </w:rPr>
              <w:t>
Установка антенн устройства обеспечивает в рабочем положении транспортного средства устойчивый прием сигналов не менее двух действующих глобальных навигационных спутниковых систем и в любом положении транспортного средства устойчивую связь по сетям подвижной радиотелефонной связи, обеспечивающим прием и передачу сигналов стандартов GSM 900, GSM 1800, а также UMTS 900 и UMTS 2000.».</w:t>
            </w:r>
          </w:p>
        </w:tc>
      </w:tr>
    </w:tbl>
    <w:bookmarkStart w:name="z26" w:id="9"/>
    <w:p>
      <w:pPr>
        <w:spacing w:after="0"/>
        <w:ind w:left="0"/>
        <w:jc w:val="both"/>
      </w:pPr>
      <w:r>
        <w:rPr>
          <w:rFonts w:ascii="Times New Roman"/>
          <w:b w:val="false"/>
          <w:i w:val="false"/>
          <w:color w:val="000000"/>
          <w:sz w:val="28"/>
        </w:rPr>
        <w:t>
      10. В </w:t>
      </w:r>
      <w:r>
        <w:rPr>
          <w:rFonts w:ascii="Times New Roman"/>
          <w:b w:val="false"/>
          <w:i w:val="false"/>
          <w:color w:val="000000"/>
          <w:sz w:val="28"/>
        </w:rPr>
        <w:t>приложении № 14</w:t>
      </w:r>
      <w:r>
        <w:rPr>
          <w:rFonts w:ascii="Times New Roman"/>
          <w:b w:val="false"/>
          <w:i w:val="false"/>
          <w:color w:val="000000"/>
          <w:sz w:val="28"/>
        </w:rPr>
        <w:t xml:space="preserve"> к указанному техническому регламенту (приложение № 1 к одобрению типа транспортного средства) в таблице позицию «Оборудование транспортного средства» в правой колонке после слова «антенна» дополнить словами «, устройство (система) вызова экстренных оперативных служб».</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приложении № 15</w:t>
      </w:r>
      <w:r>
        <w:rPr>
          <w:rFonts w:ascii="Times New Roman"/>
          <w:b w:val="false"/>
          <w:i w:val="false"/>
          <w:color w:val="000000"/>
          <w:sz w:val="28"/>
        </w:rPr>
        <w:t xml:space="preserve"> к указанному техническому регламенту (приложение № 1 к одобрению типа шасси) в таблице позицию «Оборудование шасси» в правой колонке после слова «антенна» дополнить словами «, устройство (система) вызова экстренных оперативных служб».</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