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47b" w14:textId="aad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298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подача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>
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(подтверждении)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требованиях к автомобильному и</w:t>
      </w:r>
      <w:r>
        <w:br/>
      </w:r>
      <w:r>
        <w:rPr>
          <w:rFonts w:ascii="Times New Roman"/>
          <w:b/>
          <w:i w:val="false"/>
          <w:color w:val="000000"/>
        </w:rPr>
        <w:t>
авиационному бензину, дизельному и судовому топливу, топливу</w:t>
      </w:r>
      <w:r>
        <w:br/>
      </w:r>
      <w:r>
        <w:rPr>
          <w:rFonts w:ascii="Times New Roman"/>
          <w:b/>
          <w:i w:val="false"/>
          <w:color w:val="000000"/>
        </w:rPr>
        <w:t>
для реактивных двигателей и мазуту» (ТР ТС 013/2011)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решением Коллегии Евразийской экономической комиссии от 10.06.2014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406"/>
        <w:gridCol w:w="3928"/>
        <w:gridCol w:w="3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бензин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2710 12 510 0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2710 12 590 0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20 900 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  <w:tr>
        <w:trPr>
          <w:trHeight w:val="18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  <w:tr>
        <w:trPr>
          <w:trHeight w:val="41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19 510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19 550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19 620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19 640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19 660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2710 20 310 1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20 390 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для реактивных двигателей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2710 19 210 0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Авиационный бензин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 топливо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19 620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19 640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19 660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19 680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20 190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20 390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20 900 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