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77e6c" w14:textId="6277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Единые ветеринарные (ветеринарно-санитарные) требования, предъявляемые к товарам, подлежащим ветеринарному контролю (надзору)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12 декабря 2012 года № 274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Единые ветеринарные (ветеринарно-санитарные) требования</w:t>
      </w:r>
      <w:r>
        <w:rPr>
          <w:rFonts w:ascii="Times New Roman"/>
          <w:b w:val="false"/>
          <w:i w:val="false"/>
          <w:color w:val="000000"/>
          <w:sz w:val="28"/>
        </w:rPr>
        <w:t>, предъявляемые к товарам, подлежащим ветеринарному контролю (надзору), утвержденные Решением Комиссии Таможенного союза от 18 июня 2010 г. № 317 «О применении ветеринарно-санитарных мер в Таможенном союзе»,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абзац второй части первой 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губкообразной энцефалопатии крупного рогатого скота – для крупного рогатого скота в соответствии с рекомендациями Кодекса МЭБ и классификацией риска по губкообразной энцефалопатии крупного рогатого скота экспортирующей страны, зоны или компартмента;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скрепи овец – для овец и коз в соответствии с рекомендациями Кодекса МЭБ;»;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абзац второй части первой главы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скрепи овец – в соответствии с рекомендациями Кодекса МЭБ;»;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в </w:t>
      </w:r>
      <w:r>
        <w:rPr>
          <w:rFonts w:ascii="Times New Roman"/>
          <w:b w:val="false"/>
          <w:i w:val="false"/>
          <w:color w:val="000000"/>
          <w:sz w:val="28"/>
        </w:rPr>
        <w:t>главе 28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абзац тринадцатый части четвертой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части пятой слова «губкообразной энцефалопатии крупного рогатого скота и»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 1 февраля 2013 г.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