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7e6c" w14:textId="6277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декабря 2012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Единые ветеринарные (ветеринарно-санитарные)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товарам, подлежащим ветеринарному контролю (надзору), утвержденные Решением Комиссии Таможенного союза от 18 июня 2010 г. № 317 «О применении ветеринарно-санитарных мер в Таможенном союзе»,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второй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губкообразной энцефалопатии крупного рогатого скота – для крупного рогатого скота в соответствии с рекомендациями Кодекса МЭБ и классификацией риска по губкообразной энцефалопатии крупного рогатого скота экспортирующей страны, зоны или компартмента;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скрепи овец – для овец и коз в соответствии с рекомендациями Кодекса МЭБ;»;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второй части первой главы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скрепи овец – в соответствии с рекомендациями Кодекса МЭБ;»;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главе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части четвертой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части пятой слова «губкообразной энцефалопатии крупного рогатого скота 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февраля 2013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