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8363" w14:textId="2188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общих реестров лиц, осуществляющих деятельность в сфере таможенного дела, владельцев свободных складов, резидентов (участников) свободных (специальных, особых)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11 декабря 2012 года № 271. Утратило силу решением Коллегии Евразийской экономической комиссии от 23 апреля 2024 года №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23.04.2024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таможенных представителей;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таможенных перевозчиков;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владельцев складов временного хранения;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владельцев таможенных складов;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владельцев свободных складов;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порядок формирования общего реестра резидентов (участников) свободных (специальных, особых) экономических зон;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технические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структуры электронных общих реестров (таможенных представителей, таможенных перевозчиков, владельцев складов временного хранения, владельцев таможенных складов).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261 "Об утверждении форм общих реестров лиц, осуществляющих деятельность в сфере таможенного дела, порядка их ведения и формирования";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332 "О форме общего реестра владельцев свободных складов государств – членов таможенного союза и порядке его ведения и формирования";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337 "О Порядке предоставления сведений в Комиссию Таможенного союза о резидентах (участниках) свободных (специальных, особых) экономических зон";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 марта 2011 г. № 578 "О Технических условиях предоставления данных, содержащихся в реестрах таможенных представителей, таможенных перевозчиков, владельцев складов временного хранения, владельцев таможенных складов";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25 января 2012 г. № 916 "О внесении изменений в Решение Комиссии Таможенного союза от 20 мая 2010 года № 261".</w:t>
      </w:r>
    </w:p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</w:t>
      </w:r>
      <w:r>
        <w:br/>
      </w:r>
      <w:r>
        <w:rPr>
          <w:rFonts w:ascii="Times New Roman"/>
          <w:b/>
          <w:i w:val="false"/>
          <w:color w:val="000000"/>
        </w:rPr>
        <w:t>общего реестра таможенных представителей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включение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реестр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 форма,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предста-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вителя, почтовый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в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Интернет, 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связи*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региону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деятельности*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РНН (БИН) – регистрационный номер налогоплательщика либо бизнес-идентификационный номер (для налогоплательщиков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Графа заполняется в порядке, установленном законодательством государства – члена Таможенного союза.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таможенных представителей государств – членов Таможенного союза для формирования общего реестра таможенных представителей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Государственный таможенный комитет Республики Беларусь; 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таможенная служба. 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таможенных представителей не позднее 5 рабочих дней с даты внесения в них изменений (в том числе с использованием информационных технологий). 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таможенных представителей, поступивших от уполномоченных органов, формирует общий реестр таможенных представителей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таможенных представителей предусматривает: 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юридического лица в общий реестр таможенных представителей;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из общего реестра таможенных представителей; </w:t>
      </w:r>
    </w:p>
    <w:bookmarkEnd w:id="16"/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общий реестр таможенных представителей в случае изменения сведений о юридическом лице, заявленных при включении в общий реестр таможенных представителей.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 общего реестра</w:t>
      </w:r>
      <w:r>
        <w:br/>
      </w:r>
      <w:r>
        <w:rPr>
          <w:rFonts w:ascii="Times New Roman"/>
          <w:b/>
          <w:i w:val="false"/>
          <w:color w:val="000000"/>
        </w:rPr>
        <w:t>таможенных перевозчиков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подтверждающего включение юридического лица в реестр таможенных перевозчиков*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в реестр таможенных перевозчиков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форма, наименование таможенного перевозчика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таможенного перевозчика, почтовый адрес, телефон, сайт в сети Интернет, адрес электронной почты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ИНН*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 добавления (в случае внесения изменений в документ, подтверждающий включение юридического лица в реестр)*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подтверждающего обеспечение уплаты таможенных пошлин, налогов*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 действия документа, подтверждающего обеспечение уплаты таможенных пошлин, налогов*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включившего юридическое лицо в реестр таможенных перевозчиков 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информация*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в порядке, установленном законодательством государства – члена Таможенного союза.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таможенных перевозчиков государств – членов Таможенного союза для формирования общего реестра таможенных перевозчиков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Государственный таможенный комитет Республики Беларусь; 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таможенная служба. 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таможенных перевозчиков не позднее 5 рабочих дней с даты внесения в них изменений (в том числе с использованием информационных технологий). 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таможенных перевозчиков, поступивших от уполномоченных органов, формирует общий реестр таможенных перевозчиков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таможенных перевозчиков предусматривает: 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юридического лица в общий реестр таможенных перевозчиков; 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из общего реестра таможенных перевозчиков; 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 общий реестр таможенных перевозчиков в случае изменения сведений о юридическом лице, заявленных при включении в общий реестр таможенных перевозчиков.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2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</w:t>
      </w:r>
      <w:r>
        <w:br/>
      </w:r>
      <w:r>
        <w:rPr>
          <w:rFonts w:ascii="Times New Roman"/>
          <w:b/>
          <w:i w:val="false"/>
          <w:color w:val="000000"/>
        </w:rPr>
        <w:t>общего реестра владельцев складов временного хранения</w:t>
      </w:r>
    </w:p>
    <w:bookmarkEnd w:id="32"/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документа, подтверждающего включение юридического лица в реестр владельцев СВХ*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юридического лица в реестр владельцев СВХ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и наименование владельца СВХ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владельца СВХ, почтовый адрес, телефон, сайт в сети Интернет, адрес электронной почты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УНП, РНН (БИН), ИНН*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СВХ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СВХ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транспорта, которым возможна доставка товаров на СВХ*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регионе деятельности которого расположен СВХ*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об СВХ*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СВХ – склад временного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в порядке, установленном законодательством государства – члена Таможенного союза.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владельцев складов временного хранения государств – членов Таможенного союза для формирования общего реестра владельцев складов временного хранения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Государственный таможенный комитет Республики Беларусь;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таможенная служба. 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владельцев складов временного хранения не позднее 5 рабочих дней с даты внесения в них изменений (в том числе с использованием информационных технологий). 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владельцев складов временного хранения, поступивших от уполномоченных органов, формирует общий реестр владельцев складов временного хранения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владельцев складов временного хранения предусматривает: 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юридического лица в общий реестр владельцев складов временного хранения; 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из общего реестра владельцев складов временного хранения; 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общий реестр владельцев складов временного хранения в случае изменения сведений о юридическом лице, заявленных при включении в общий реестр владельцев складов временного хранения.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 общего реестра</w:t>
      </w:r>
      <w:r>
        <w:br/>
      </w:r>
      <w:r>
        <w:rPr>
          <w:rFonts w:ascii="Times New Roman"/>
          <w:b/>
          <w:i w:val="false"/>
          <w:color w:val="000000"/>
        </w:rPr>
        <w:t>владельцев таможенных складов</w:t>
      </w:r>
    </w:p>
    <w:bookmarkEnd w:id="46"/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документа, подтверждающего включение юридического лица в реестр владельцев ТС*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в реестр владельцев ТС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форма, наименование владельца ТС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Местонахождение, почтовый адрес владельца ТС, телефон, сайт в сети Интернет, адрес электронной почты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ИНН*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ТС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помещения и открытой площадки ТС*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в регионе деятельности которого расположен ТС*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</w:tbl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– таможенный склад.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в порядке, установленном законодательством государства – члена Таможенного союза.</w:t>
      </w:r>
    </w:p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владельцев таможенных складов государств – членов Таможенного союза для формирования общего реестра владельцев таможенных складов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Государственный таможенный комитет Республики Беларусь; 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таможенная служба. 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владельцев таможенных складов не позднее 5 рабочих дней с даты внесения в них изменений (в том числе с использованием информационных технологий).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владельцев таможенных складов, поступивших от уполномоченных органов, формирует общий реестр владельцев таможенных складов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владельцев таможенных складов предусматривает: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юридического лица в общий реестр владельцев таможенных складов;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из общего реестра владельцев таможенных складов;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общий реестр владельцев таможенных складов в случае изменения сведений о юридическом лице, заявленных при включении в общий реестр владельцев таможенных складов.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3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 общего реестра</w:t>
      </w:r>
      <w:r>
        <w:br/>
      </w:r>
      <w:r>
        <w:rPr>
          <w:rFonts w:ascii="Times New Roman"/>
          <w:b/>
          <w:i w:val="false"/>
          <w:color w:val="000000"/>
        </w:rPr>
        <w:t>владельцев свободных складов</w:t>
      </w:r>
    </w:p>
    <w:bookmarkEnd w:id="55"/>
    <w:bookmarkStart w:name="z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государства –члена Таможенного союза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документа, подтверж-дающего включение юридического лица в реестр владельцев СК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в реестр владельцев СК, дата исключения юридического лица из реестра владельцев СК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Организационно-правовая форма, наименование владельца СК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Местонахождение, почтовый адрес владельца СК, телефон, сайт в сети Интернет, адрес электронной почты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СК*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Таможенный орган, в регионе деятельности которого расположен СК*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bookmarkStart w:name="z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настоящей форме используются сокращения, которые означают следующее: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 – свободный склад.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в порядке, установленном законодательством государства – члена Таможенного союза.</w:t>
      </w:r>
    </w:p>
    <w:bookmarkStart w:name="z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владельцев свободных складов государств – членов Таможенного союза для формирования общего реестра владельцев свободных складов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Государственный таможенный комитет Республики Беларусь; 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Федеральная таможенная служба. 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владельцев свободных складов не позднее 5 рабочих дней с даты внесения в них изменений (в том числе с использованием информационных технологий). 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владельцев свободных складов, поступивших от уполномоченных органов, формирует общий реестр владельцев свободных складов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владельцев свободных складов предусматривает: 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юридического лица в общий реестр владельцев свободных складов; 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из общего реестра владельцев свободных складов; 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общий реестр владельцев свободных складов в случае изменения сведений о юридическом лице, заявленных при включении в общий реестр владельцев свободных складов. 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4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и порядок формирования общего реестра</w:t>
      </w:r>
      <w:r>
        <w:br/>
      </w:r>
      <w:r>
        <w:rPr>
          <w:rFonts w:ascii="Times New Roman"/>
          <w:b/>
          <w:i w:val="false"/>
          <w:color w:val="000000"/>
        </w:rPr>
        <w:t>резидентов (участников) свободных (специальных, особых)</w:t>
      </w:r>
      <w:r>
        <w:br/>
      </w:r>
      <w:r>
        <w:rPr>
          <w:rFonts w:ascii="Times New Roman"/>
          <w:b/>
          <w:i w:val="false"/>
          <w:color w:val="000000"/>
        </w:rPr>
        <w:t>экономических зон</w:t>
      </w:r>
    </w:p>
    <w:bookmarkEnd w:id="69"/>
    <w:bookmarkStart w:name="z4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 Форма общего реестра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юридического лица с указанием организационно- правовой формы или Ф.И.О. индивидуального предпринимателя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Сокращенное наименование юридического лица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Фирменное наименование юридического лица (при наличии)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адрес или место жительства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(БИН, ИИН), ИНН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СЭЗ, на территории которой резидент (участник) СЭЗ осуществляет деятельность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проекта, осуществляемого резидентом (участником) СЭЗ в соответствии с заключенным соглашением об осуществлении деятельности на территории СЭЗ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внесения записи в реестр резидентов СЭЗ государства - члена Таможенного союза о регистрации лица в качестве резидента (участника) СЭЗ или о лишении лица статуса резидента (участника) СЭЗ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органа, осуществившего регистрацию лица в качестве резидента (участника) СЭЗ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и номер свидетельства, удостоверяющего регистрацию лица в качестве резидента (участника) СЭЗ (при наличии)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</w:tr>
    </w:tbl>
    <w:bookmarkStart w:name="z4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 (для налогоплательщиков Республики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(БИН, ИИН) – регистрационный номер налогоплательщика и бизнес-идентификационный номер либо индивидуальный 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свободная (специальная, особая) экономическая зона.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Графа заполняется в порядке, установленном законодательством государства – члена Таможенного союза. </w:t>
      </w:r>
    </w:p>
    <w:bookmarkStart w:name="z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II. Порядок формирования общего реестра 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Предоставление реестров резидентов (участников) свободных (специальных, особых) экономических зон государств – членов Таможенного союза для формирования общего реестра резидентов (участников) свободных (специальных, особых) экономических зон осуществляют следующие уполномоченные органы исполнительной власти государств – членов Таможенного союза (далее – уполномоченные органы): 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– Министерство экономики Республики Беларусь;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Комитет таможенного контроля Министерства финансов Республики Казахстан; 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– Министерство экономического развития Российской Федерации. 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Уполномоченные органы направляют в Евразийскую экономическую комиссию реестры резидентов (участников) свободных (специальных, особых) экономических зон не позднее 5 рабочих дней с даты внесения в них изменений (в том числе с использованием информационных технологий). 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Евразийская экономическая комиссия на основании реестров резидентов (участников) свободных (специальных, особых) экономических зон, поступивших от уполномоченных органов, формирует общий реестр резидентов (участников) свободных (специальных, особых) экономических зон и обеспечивает его опубликование на официальном сайте Евразийской экономической комиссии в сети Интернет не позднее 1 рабочего дня с даты получения реестров (в том числе с использованием информационных технологий). 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общего реестра резидентов (участников) свободных (специальных, особых) экономических зон предусматривает: 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юридического лица (индивидуального предпринимателя) в общий реестр резидентов (участников) свободных (специальных, особых) экономических зон; 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юридического лица (индивидуального предпринимателя) из общего реестра резидентов (участников) свободных (специальных, особых) экономических зон; 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изменений в общий реестр резидентов (участников) свободных (специальных, особых) экономических зон в случае изменения сведений о юридическом лице (индивидуальном предпринимателе), заявленных при включении в общий реестр резидентов (участников) свободных (специальных, особых) экономических зон.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г. № 271</w:t>
            </w:r>
          </w:p>
        </w:tc>
      </w:tr>
    </w:tbl>
    <w:bookmarkStart w:name="z4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условия формирования и структуры электронных общих реестров (таможенных представителей, таможенных перевозчиков, владельцев складов временного хранения, владельцев таможенных складов) </w:t>
      </w:r>
    </w:p>
    <w:bookmarkEnd w:id="83"/>
    <w:bookmarkStart w:name="z4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Файлы данных реестра таможенных представителей, реестра таможенных перевозчиков, реестра владельцев складов временного хранения и реестра владельцев таможенных складов для формирования соответствующих электронных общих реестров должны направляться в Евразийскую экономическую комиссию в формате DBF (dBase IV) и их наименования должны соответствовать следующей структуре маски файла "nXXYYYYMMDD.dbf", 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признак типа формы; 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XX – буквенный код альфа-2 государства – члена Таможенного союза (BY – Республика Беларусь, 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KZ – Республика Казахстан, RU – Российская Федерация); 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YYYY – цифровое обозначение года, в котором был сформирован файл данных; 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MM – цифровое обозначение месяца, в котором был сформирован файл данных; 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DD – цифровое обозначение дня, в котором был сформирован файл данных. 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имени файла в структурах электронных общих реестров используются сокращения, которые означают следующее: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 – реестр таможенных представителей;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 – реестр таможенных перевозчиков;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W – реестр владельцев складов временного 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 – реестр владельцев таможенных складов;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st – буквенный код альфа-2 государства – члена Таможенного союза, являющегося владельцем информации. </w:t>
      </w:r>
    </w:p>
    <w:bookmarkStart w:name="z4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электронного общего реестра таможенных представителей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файла – Rst_BROK.DBF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поля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буквенный (2-символьный)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TYP_DOC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регистрационного документа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NLIC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OWNER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ADROWN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ADRPOCHT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TELEFON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website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 таможенного представителя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KPP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учет (для Республики Беларусь и Республики Казахстан – не заполняется)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 видам товаров в соответствии с ТН ВЭД ТС*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CONT02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 видам таможенных операций*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 видам транспорта*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CONT04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по региону деятельности*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DOPINF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PRIZNAK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таможенный представитель; 1 – структурное подразделение (филиал таможенного представителя), через которое юридическое лицо осуществляет деятельность в качестве таможенного представителя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осуществления деятельности в качестве таможенного представителя (1-й день действия, в том числе после временного прекращения (приостановления, пр.))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END_ST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осуществления деятельности в качестве таможенного представителя (последний день действия, в том числе по причине временного прекращения (приостановления, пр.) или отзыва (изъятия)) </w:t>
            </w:r>
          </w:p>
        </w:tc>
      </w:tr>
    </w:tbl>
    <w:bookmarkStart w:name="z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 (для налогоплательщиков Республики Беларусь);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Графа заполняется в порядке, установленном законодательством государства – члена Таможенного союза. </w:t>
      </w:r>
    </w:p>
    <w:bookmarkStart w:name="z5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электронного общего реестра таможенных перевозчиков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файла – Tst_CAR.DBF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поля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буквенный (2-символьный)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TYP_DOC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регистрационного документа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NLIC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OWNER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ADRROWN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ADRPOCHT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TELEFP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website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таможенного перевозчика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УНП, РНН (БИН), ИНН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KPP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причины постановки на учет (для Республики Беларусь и Республики Казахстан – не заполняется)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PR_PER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буква добавления (в случае внесения изменений в документ, подтверждающий включение юридического лица)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DOC_TP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документа, подтверждающего обеспечение уплаты таможенных пошлин, налогов*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DEND_TP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срока действия документа, подтверждающего обеспечение уплаты таможенных пошлин, налогов*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KODT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включившего юридическое лицо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DOPINF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осуществления деятельности в качестве таможенного перевозчика (1-й день действия, в том числе после временного прекращения (приостановления, пр.))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END_ST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осуществления деятельности в качестве таможенного перевозчика (последний день действия, в том числе по причине временного прекращения (приостановления, пр.) или отзыва (изъятия)) </w:t>
            </w:r>
          </w:p>
        </w:tc>
      </w:tr>
    </w:tbl>
    <w:bookmarkStart w:name="z5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Графа заполняется в порядке, установленном законодательством государства – члена Таможенного союза.  </w:t>
      </w:r>
    </w:p>
    <w:bookmarkStart w:name="z5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электронного общего реестра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владельцев складов 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файла – Wst_SV.DBF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поля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буквенный (2-символьный)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NLIC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регистрации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OWNER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ADROWN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ADRPOCHT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TELEFON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website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владельца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СВХ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AREAS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СВХ (кв. 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VOLUME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помещения СВХ (куб. 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VIDTRANS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транспорта, которым возможна доставка товаров на СВХ*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KODT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органа, в регионе деятельности которого расположен СВХ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DOPINF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 об СВХ*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осуществления деятельности владельца СВХ (1-й день действия, в том числе после временного прекращения (приостановления, пр.))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END_ST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окончания деятельности владельца СВХ (последний день действия, в том числе по причине временного прекращения (приостановления, пр.) или отзыва (изъятия)) </w:t>
            </w:r>
          </w:p>
        </w:tc>
      </w:tr>
    </w:tbl>
    <w:bookmarkStart w:name="z5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СВХ – склад временного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Графа заполняется в порядке, установленном законодательством государства – члена Таможенного союза. </w:t>
      </w:r>
    </w:p>
    <w:bookmarkStart w:name="z5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электронного общего реестра владельцев таможенных складов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файла – Sst_TS.DBF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Формат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поля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поля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страны буквенный (2-символьный)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NLIC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регистрации юридического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включения юридического лица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OWNER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ADROWN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ADRPOCHT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почтовый адрес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TELEFON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website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EMAIL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почта владельца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УНП, РНН (БИН), ИНН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ADRS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TYPES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(1)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 ТС (0 – открытый, 1 – закрытый)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AREAS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ТС (кв. 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VOLUME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объем ТС (куб. 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KODT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таможенного органа, в регионе деятельности которого расположен ТС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DOPINF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информация о ТС*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DBEGIN_ST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начала осуществления деятельности владельца ТС (1-й день действия, в том числе после временного прекращения (приостановления, пр.))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END_ST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деятельности владельца ТС (последний день действия, в том числе по причине временного прекращения (приостановления, пр.) или отзыва (изъятия))</w:t>
            </w:r>
          </w:p>
        </w:tc>
      </w:tr>
    </w:tbl>
    <w:bookmarkStart w:name="z5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В настоящей форме используются сокращения, которые означают следующее: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УНП – учетный номер плательщика (для налогоплательщиков Республики Беларусь);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РНН (БИН) – регистрационный номер налогоплательщика либо бизнес-идентификационный номер (для налогоплательщиков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 – индивидуальный номер налогоплательщика (для налогоплательщиков Российской Федерации);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ТС – таможенный склад.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Графа заполняется в порядке, установленном законодательством государства – члена Таможенного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