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fa49" w14:textId="5b1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обмена информацией между уполномоченными органами государств – членов Евразийского экономического союза и Евразийской экономической комиссией в целях проведения согласованной макроэкономической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11 декабря 2012 года № 270. Утратило силу решением Коллегии Евразийской экономической комиссии от 2 июня 2016 года № 59</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02.06.2016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ff0000"/>
          <w:sz w:val="28"/>
        </w:rPr>
        <w:t xml:space="preserve">      Сноска. Заголовок решения с изменениями, внесенными решением Коллегии Евразийской экономической комиссии от 10.02.2015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Утвердить </w:t>
      </w:r>
      <w:r>
        <w:rPr>
          <w:rFonts w:ascii="Times New Roman"/>
          <w:b w:val="false"/>
          <w:i w:val="false"/>
          <w:color w:val="000000"/>
          <w:sz w:val="28"/>
        </w:rPr>
        <w:t>Порядок</w:t>
      </w:r>
      <w:r>
        <w:rPr>
          <w:rFonts w:ascii="Times New Roman"/>
          <w:b w:val="false"/>
          <w:i w:val="false"/>
          <w:color w:val="000000"/>
          <w:sz w:val="28"/>
        </w:rPr>
        <w:t xml:space="preserve"> обмена информацией между уполномоченными органами государств–членов Евразийского экономического союза и Евразийской экономической комиссией в целях проведения согласованной макроэкономической политики (прилагается).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Коллегии Евразийской экономической комиссии от 10.02.2015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11 декабря 2012 г. № 270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10 февраля 2015 г. № 13)    </w:t>
      </w:r>
    </w:p>
    <w:bookmarkEnd w:id="1"/>
    <w:bookmarkStart w:name="z33" w:id="2"/>
    <w:p>
      <w:pPr>
        <w:spacing w:after="0"/>
        <w:ind w:left="0"/>
        <w:jc w:val="left"/>
      </w:pPr>
      <w:r>
        <w:rPr>
          <w:rFonts w:ascii="Times New Roman"/>
          <w:b/>
          <w:i w:val="false"/>
          <w:color w:val="000000"/>
        </w:rPr>
        <w:t xml:space="preserve"> 
ПОРЯДОК</w:t>
      </w:r>
      <w:r>
        <w:br/>
      </w:r>
      <w:r>
        <w:rPr>
          <w:rFonts w:ascii="Times New Roman"/>
          <w:b/>
          <w:i w:val="false"/>
          <w:color w:val="000000"/>
        </w:rPr>
        <w:t xml:space="preserve">
обмена информацией между уполномоченными органами государств - членов Евразийского экономического союза и Евразийской экономической комиссией в целях проведения согласованной макроэкономической политики </w:t>
      </w:r>
    </w:p>
    <w:bookmarkEnd w:id="2"/>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10.02.2015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 w:id="3"/>
    <w:p>
      <w:pPr>
        <w:spacing w:after="0"/>
        <w:ind w:left="0"/>
        <w:jc w:val="both"/>
      </w:pPr>
      <w:r>
        <w:rPr>
          <w:rFonts w:ascii="Times New Roman"/>
          <w:b w:val="false"/>
          <w:i w:val="false"/>
          <w:color w:val="000000"/>
          <w:sz w:val="28"/>
        </w:rPr>
        <w:t>
      1. 1. Настоящий Порядок разработан в соответствии с пунктом 4 </w:t>
      </w:r>
      <w:r>
        <w:rPr>
          <w:rFonts w:ascii="Times New Roman"/>
          <w:b w:val="false"/>
          <w:i w:val="false"/>
          <w:color w:val="000000"/>
          <w:sz w:val="28"/>
        </w:rPr>
        <w:t>Протокола</w:t>
      </w:r>
      <w:r>
        <w:rPr>
          <w:rFonts w:ascii="Times New Roman"/>
          <w:b w:val="false"/>
          <w:i w:val="false"/>
          <w:color w:val="000000"/>
          <w:sz w:val="28"/>
        </w:rPr>
        <w:t xml:space="preserve"> о проведении согласованной макроэкономической политики (приложение № 14 к Договору о Евразийском экономическом союзе от 29 мая 2014 года) в целях обеспечения эффективного взаимодействия между уполномоченными органами государств - членов Евразийского экономического союза (далее - государства-члены) и Евразийской экономической комиссией (далее - Комиссия) посредством обмена информацией в целях проведения согласованной макроэкономической политики и определяет последовательность действий Комиссии и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2. В целях применения настоящего Порядка используются следующие основные понятия:</w:t>
      </w:r>
      <w:r>
        <w:br/>
      </w:r>
      <w:r>
        <w:rPr>
          <w:rFonts w:ascii="Times New Roman"/>
          <w:b w:val="false"/>
          <w:i w:val="false"/>
          <w:color w:val="000000"/>
          <w:sz w:val="28"/>
        </w:rPr>
        <w:t>
      «информация» - сведения, которыми обмениваются уполномоченные органы государств-членов и Комиссия в целях реализации настоящего Порядка;</w:t>
      </w:r>
      <w:r>
        <w:br/>
      </w:r>
      <w:r>
        <w:rPr>
          <w:rFonts w:ascii="Times New Roman"/>
          <w:b w:val="false"/>
          <w:i w:val="false"/>
          <w:color w:val="000000"/>
          <w:sz w:val="28"/>
        </w:rPr>
        <w:t>
      «уполномоченные органы» - органы исполнительной власти государств-членов, осуществляющие функции по выработке государственной политики и нормативному правовому регулированию в области экономики, финансов и в других сферах и ответственные за формирование и (или) представление информации в Комиссию, а также центральные (национальные) банки государств-членов.</w:t>
      </w:r>
      <w:r>
        <w:br/>
      </w:r>
      <w:r>
        <w:rPr>
          <w:rFonts w:ascii="Times New Roman"/>
          <w:b w:val="false"/>
          <w:i w:val="false"/>
          <w:color w:val="000000"/>
          <w:sz w:val="28"/>
        </w:rPr>
        <w:t>
</w:t>
      </w:r>
      <w:r>
        <w:rPr>
          <w:rFonts w:ascii="Times New Roman"/>
          <w:b w:val="false"/>
          <w:i w:val="false"/>
          <w:color w:val="000000"/>
          <w:sz w:val="28"/>
        </w:rPr>
        <w:t>
      3. Уполномоченные органы представляют в Комиссию следующую информацию:</w:t>
      </w:r>
      <w:r>
        <w:br/>
      </w:r>
      <w:r>
        <w:rPr>
          <w:rFonts w:ascii="Times New Roman"/>
          <w:b w:val="false"/>
          <w:i w:val="false"/>
          <w:color w:val="000000"/>
          <w:sz w:val="28"/>
        </w:rPr>
        <w:t>
      а) показатели социально-экономического развития государств-членов (представляются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r>
        <w:br/>
      </w:r>
      <w:r>
        <w:rPr>
          <w:rFonts w:ascii="Times New Roman"/>
          <w:b w:val="false"/>
          <w:i w:val="false"/>
          <w:color w:val="000000"/>
          <w:sz w:val="28"/>
        </w:rPr>
        <w:t>
      макроэкономические показатели, определяющие устойчивость экономического развития:</w:t>
      </w:r>
      <w:r>
        <w:br/>
      </w:r>
      <w:r>
        <w:rPr>
          <w:rFonts w:ascii="Times New Roman"/>
          <w:b w:val="false"/>
          <w:i w:val="false"/>
          <w:color w:val="000000"/>
          <w:sz w:val="28"/>
        </w:rPr>
        <w:t>
      годовой дефицит консолидированного бюджета сектора государственного управления (в процентах к валовому внутреннему продукту);</w:t>
      </w:r>
      <w:r>
        <w:br/>
      </w:r>
      <w:r>
        <w:rPr>
          <w:rFonts w:ascii="Times New Roman"/>
          <w:b w:val="false"/>
          <w:i w:val="false"/>
          <w:color w:val="000000"/>
          <w:sz w:val="28"/>
        </w:rPr>
        <w:t>
      долг сектора государственного управления (в процентах к валовому внутреннему продукту);</w:t>
      </w:r>
      <w:r>
        <w:br/>
      </w:r>
      <w:r>
        <w:rPr>
          <w:rFonts w:ascii="Times New Roman"/>
          <w:b w:val="false"/>
          <w:i w:val="false"/>
          <w:color w:val="000000"/>
          <w:sz w:val="28"/>
        </w:rPr>
        <w:t>
      уровень инфляции (индекс потребительских цен) в годовом выражении (декабрь к декабрю предыдущего года, в процентах);</w:t>
      </w:r>
      <w:r>
        <w:br/>
      </w:r>
      <w:r>
        <w:rPr>
          <w:rFonts w:ascii="Times New Roman"/>
          <w:b w:val="false"/>
          <w:i w:val="false"/>
          <w:color w:val="000000"/>
          <w:sz w:val="28"/>
        </w:rPr>
        <w:t>
      макроэкономические показатели, определяющие уровень и динамику развития экономики:</w:t>
      </w:r>
      <w:r>
        <w:br/>
      </w:r>
      <w:r>
        <w:rPr>
          <w:rFonts w:ascii="Times New Roman"/>
          <w:b w:val="false"/>
          <w:i w:val="false"/>
          <w:color w:val="000000"/>
          <w:sz w:val="28"/>
        </w:rPr>
        <w:t>
      темпы роста валового внутреннего продукта (в процентах к предыдущему году) (рассчитываются как индекс физического объема валового внутреннего продукта);</w:t>
      </w:r>
      <w:r>
        <w:br/>
      </w:r>
      <w:r>
        <w:rPr>
          <w:rFonts w:ascii="Times New Roman"/>
          <w:b w:val="false"/>
          <w:i w:val="false"/>
          <w:color w:val="000000"/>
          <w:sz w:val="28"/>
        </w:rPr>
        <w:t>
      валовой внутренний продукт на душу населения по паритету покупательной способности (в тыс. долларов США) (информация по данному показателю формируется Комиссией на основе данных Всемирного банка, для расчета данного показателя по Российской Федерации используются данные, опубликованные на официальном сайте в информационно-телекоммуникационной сети «Интернет» (далее - сеть Интернет) Федеральной службы государственной статистики и согласованные с Организацией экономического сотрудничества и развития (ОЭСР));</w:t>
      </w:r>
      <w:r>
        <w:br/>
      </w:r>
      <w:r>
        <w:rPr>
          <w:rFonts w:ascii="Times New Roman"/>
          <w:b w:val="false"/>
          <w:i w:val="false"/>
          <w:color w:val="000000"/>
          <w:sz w:val="28"/>
        </w:rPr>
        <w:t>
      сальдо счета текущих операций платежного баланса (в млн. долларов США и в процентах к валовому внутреннему продукту);</w:t>
      </w:r>
      <w:r>
        <w:br/>
      </w:r>
      <w:r>
        <w:rPr>
          <w:rFonts w:ascii="Times New Roman"/>
          <w:b w:val="false"/>
          <w:i w:val="false"/>
          <w:color w:val="000000"/>
          <w:sz w:val="28"/>
        </w:rPr>
        <w:t>
      индекс реального эффективного обменного курса национальной валюты (в среднегодовом выражении и декабрь к декабрю предыдущего года, в процентах) (для Республики Беларусь и Российской Федерации - индекс реального эффективного курса национальной валюты);</w:t>
      </w:r>
      <w:r>
        <w:br/>
      </w:r>
      <w:r>
        <w:rPr>
          <w:rFonts w:ascii="Times New Roman"/>
          <w:b w:val="false"/>
          <w:i w:val="false"/>
          <w:color w:val="000000"/>
          <w:sz w:val="28"/>
        </w:rPr>
        <w:t>
      макроэкономические показатели, определяющие степень интеграции:</w:t>
      </w:r>
      <w:r>
        <w:br/>
      </w:r>
      <w:r>
        <w:rPr>
          <w:rFonts w:ascii="Times New Roman"/>
          <w:b w:val="false"/>
          <w:i w:val="false"/>
          <w:color w:val="000000"/>
          <w:sz w:val="28"/>
        </w:rPr>
        <w:t>
      объем национальных инвестиций, направленных в экономику каждого государства-члена, в том числе прямых инвестиций (в млн. долларов США);</w:t>
      </w:r>
      <w:r>
        <w:br/>
      </w:r>
      <w:r>
        <w:rPr>
          <w:rFonts w:ascii="Times New Roman"/>
          <w:b w:val="false"/>
          <w:i w:val="false"/>
          <w:color w:val="000000"/>
          <w:sz w:val="28"/>
        </w:rPr>
        <w:t>
      объем инвестиций, поступивших в национальную экономику от каждого государства-члена, в том числе прямых инвестиций (в млн. долларов США);</w:t>
      </w:r>
      <w:r>
        <w:br/>
      </w:r>
      <w:r>
        <w:rPr>
          <w:rFonts w:ascii="Times New Roman"/>
          <w:b w:val="false"/>
          <w:i w:val="false"/>
          <w:color w:val="000000"/>
          <w:sz w:val="28"/>
        </w:rPr>
        <w:t>
      доля каждого государства-члена в общем объеме экспорта, импорта и внешнеторгового оборота государств-членов (в процентах) (рассчитывается Комиссией);</w:t>
      </w:r>
      <w:r>
        <w:br/>
      </w:r>
      <w:r>
        <w:rPr>
          <w:rFonts w:ascii="Times New Roman"/>
          <w:b w:val="false"/>
          <w:i w:val="false"/>
          <w:color w:val="000000"/>
          <w:sz w:val="28"/>
        </w:rPr>
        <w:t>
      б) прогнозы (программы) социально-экономического развития на среднесрочный период (представляются ежегодно), в том числе:</w:t>
      </w:r>
      <w:r>
        <w:br/>
      </w:r>
      <w:r>
        <w:rPr>
          <w:rFonts w:ascii="Times New Roman"/>
          <w:b w:val="false"/>
          <w:i w:val="false"/>
          <w:color w:val="000000"/>
          <w:sz w:val="28"/>
        </w:rPr>
        <w:t>
      материалы первого этапа разработки прогнозов социально- экономического развития (для Республики Армения - проект прогноза социально-экономического развития Республики Армения на среднесрочную перспективу, для Республики Беларусь - проект прогноза социально-экономического развития Республики Беларусь на краткосрочную перспективу, для Республики Казахстан - проект прогноза социально-экономического развития Республики Казахстан на 5-летний период, для Российской Федерации -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r>
        <w:br/>
      </w:r>
      <w:r>
        <w:rPr>
          <w:rFonts w:ascii="Times New Roman"/>
          <w:b w:val="false"/>
          <w:i w:val="false"/>
          <w:color w:val="000000"/>
          <w:sz w:val="28"/>
        </w:rPr>
        <w:t>
      материалы второго этапа разработки прогнозов социально- экономического развития (для Республики Армения - прогноз социально-экономического развития Республики Армения на очередной финансовый год, для Республики Беларусь - прогноз социально- экономического развития Республики Беларусь на краткосрочную перспективу, для Республики Казахстан - прогноз социально- экономического развития Республики Казахстан на 5-летний период, для Российской Федерации - прогноз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r>
        <w:br/>
      </w:r>
      <w:r>
        <w:rPr>
          <w:rFonts w:ascii="Times New Roman"/>
          <w:b w:val="false"/>
          <w:i w:val="false"/>
          <w:color w:val="000000"/>
          <w:sz w:val="28"/>
        </w:rPr>
        <w:t>
      в) долгосрочные (свыше 5 лет) программы (планы, стратегии, концепции) социально-экономического развития, планы (концепции, стратегии) действий и мер в сфере экономического развития и макроэкономической политики (представляются в течение 7 рабочих дней с даты их утверждения (одобрения, принятия));</w:t>
      </w:r>
      <w:r>
        <w:br/>
      </w:r>
      <w:r>
        <w:rPr>
          <w:rFonts w:ascii="Times New Roman"/>
          <w:b w:val="false"/>
          <w:i w:val="false"/>
          <w:color w:val="000000"/>
          <w:sz w:val="28"/>
        </w:rPr>
        <w:t>
      г) основные нормативные правовые акты в сфере разработки и реализации макроэкономической политики, бюджетной, налоговой и денежно-кредитной политики, а также акты, направленные на стабилизацию экономической ситуации и повышение устойчивости экономического развития (представляются в течение 7 рабочих дней с даты их утверждения (одобрения, принятия));</w:t>
      </w:r>
      <w:r>
        <w:br/>
      </w:r>
      <w:r>
        <w:rPr>
          <w:rFonts w:ascii="Times New Roman"/>
          <w:b w:val="false"/>
          <w:i w:val="false"/>
          <w:color w:val="000000"/>
          <w:sz w:val="28"/>
        </w:rPr>
        <w:t>
      д) иная информация (представляется на разовой или периодической основе по оперативным запросам Комиссии).</w:t>
      </w:r>
      <w:r>
        <w:br/>
      </w:r>
      <w:r>
        <w:rPr>
          <w:rFonts w:ascii="Times New Roman"/>
          <w:b w:val="false"/>
          <w:i w:val="false"/>
          <w:color w:val="000000"/>
          <w:sz w:val="28"/>
        </w:rPr>
        <w:t>
</w:t>
      </w:r>
      <w:r>
        <w:rPr>
          <w:rFonts w:ascii="Times New Roman"/>
          <w:b w:val="false"/>
          <w:i w:val="false"/>
          <w:color w:val="000000"/>
          <w:sz w:val="28"/>
        </w:rPr>
        <w:t xml:space="preserve">
      4. Уполномоченные органы самостоятельно определяют перечень и состав информации, предоставляемой в соответствии с подпунктами «в» и «г» пункта 3 настоящего Порядка. </w:t>
      </w:r>
      <w:r>
        <w:br/>
      </w:r>
      <w:r>
        <w:rPr>
          <w:rFonts w:ascii="Times New Roman"/>
          <w:b w:val="false"/>
          <w:i w:val="false"/>
          <w:color w:val="000000"/>
          <w:sz w:val="28"/>
        </w:rPr>
        <w:t>
      Информация, указанная в подпунктах «б» - «д» пункта 3 настоящего Порядка, направляется в электронном виде на официальный адрес электронной почты Департамента макроэкономической политики Комиссии dmp@eecommission.org. Если данная информация размещена государством-членом в открытом доступе на официальных сайтах в сети Интернет, то по электронной почте вместо указанной информации может направляться ссылка на источник опубликования.</w:t>
      </w:r>
      <w:r>
        <w:br/>
      </w:r>
      <w:r>
        <w:rPr>
          <w:rFonts w:ascii="Times New Roman"/>
          <w:b w:val="false"/>
          <w:i w:val="false"/>
          <w:color w:val="000000"/>
          <w:sz w:val="28"/>
        </w:rPr>
        <w:t>
</w:t>
      </w:r>
      <w:r>
        <w:rPr>
          <w:rFonts w:ascii="Times New Roman"/>
          <w:b w:val="false"/>
          <w:i w:val="false"/>
          <w:color w:val="000000"/>
          <w:sz w:val="28"/>
        </w:rPr>
        <w:t>
      5. На основе полученной информации Комиссия готовит следующие документы и материалы:</w:t>
      </w:r>
      <w:r>
        <w:br/>
      </w:r>
      <w:r>
        <w:rPr>
          <w:rFonts w:ascii="Times New Roman"/>
          <w:b w:val="false"/>
          <w:i w:val="false"/>
          <w:color w:val="000000"/>
          <w:sz w:val="28"/>
        </w:rPr>
        <w:t>
      а) информация об анализе социально-экономического развития государств-членов - ежеквартально, в течение 30 календарных дней с даты получения информации о показателях социально-экономического развития государств-членов;</w:t>
      </w:r>
      <w:r>
        <w:br/>
      </w:r>
      <w:r>
        <w:rPr>
          <w:rFonts w:ascii="Times New Roman"/>
          <w:b w:val="false"/>
          <w:i w:val="false"/>
          <w:color w:val="000000"/>
          <w:sz w:val="28"/>
        </w:rPr>
        <w:t>
      б) информация о мониторинге состояния макроэкономических показателей, определяющих устойчивость экономического развития государств-членов, - ежеквартально, в течение 30 календарных дней с даты получения информации о макроэкономических показателях, определяющих устойчивость экономического развития государств-членов, а также ежегодно, к 1 апреля;</w:t>
      </w:r>
      <w:r>
        <w:br/>
      </w:r>
      <w:r>
        <w:rPr>
          <w:rFonts w:ascii="Times New Roman"/>
          <w:b w:val="false"/>
          <w:i w:val="false"/>
          <w:color w:val="000000"/>
          <w:sz w:val="28"/>
        </w:rPr>
        <w:t>
      в) ежегодно, к 1 апреля, - доклад об итогах и перспективах социально-экономического развития государств-членов и мерах, предпринимаемых государствами-членами в области макроэкономической политики, который после согласования с государствами-членами вносится на рассмотрение Коллегии Комиссии и включает в том числе:</w:t>
      </w:r>
      <w:r>
        <w:br/>
      </w:r>
      <w:r>
        <w:rPr>
          <w:rFonts w:ascii="Times New Roman"/>
          <w:b w:val="false"/>
          <w:i w:val="false"/>
          <w:color w:val="000000"/>
          <w:sz w:val="28"/>
        </w:rPr>
        <w:t>
      итоги социально-экономического развития государств-членов (ключевые тенденции социально-экономического развития государств-членов и анализ мер в области макроэкономической политики, предпринимаемых государствами-членами);</w:t>
      </w:r>
      <w:r>
        <w:br/>
      </w:r>
      <w:r>
        <w:rPr>
          <w:rFonts w:ascii="Times New Roman"/>
          <w:b w:val="false"/>
          <w:i w:val="false"/>
          <w:color w:val="000000"/>
          <w:sz w:val="28"/>
        </w:rPr>
        <w:t>
      перспективы социально-экономического развития государств-членов (макроэкономические риски для государств-членов, прогнозы социально-экономического развития государств-членов и прогноз социально-экономического развития Евразийского экономического союза в целом);</w:t>
      </w:r>
      <w:r>
        <w:br/>
      </w:r>
      <w:r>
        <w:rPr>
          <w:rFonts w:ascii="Times New Roman"/>
          <w:b w:val="false"/>
          <w:i w:val="false"/>
          <w:color w:val="000000"/>
          <w:sz w:val="28"/>
        </w:rPr>
        <w:t>
      приоритеты реализации макроэкономической политики (приоритеты социально-экономического развития государств-членов на текущий год и анализ национальных мер структурной политики, направленных на экономическое развитие государств-членов);</w:t>
      </w:r>
      <w:r>
        <w:br/>
      </w:r>
      <w:r>
        <w:rPr>
          <w:rFonts w:ascii="Times New Roman"/>
          <w:b w:val="false"/>
          <w:i w:val="false"/>
          <w:color w:val="000000"/>
          <w:sz w:val="28"/>
        </w:rPr>
        <w:t>
      г) предложения по совместным мерам, направленным на стабилизацию экономической ситуации и повышение устойчивости экономического развития государств-членов (разрабатываются в случае превышения государствами-членами количественных значений макроэкономических показателей, определяющих устойчивость экономического развития,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разработки и принятия мер, направленных на стабилизацию экономической ситуации в случае превышения государствами - членами Таможенного союза и Единого экономического пространства количественных значений макроэкономических показателей, определяющих устойчивость экономического развития, утвержденным Решением Коллегии Евразийской экономической комиссии от 25 июня 2014 г. № 93);</w:t>
      </w:r>
      <w:r>
        <w:br/>
      </w:r>
      <w:r>
        <w:rPr>
          <w:rFonts w:ascii="Times New Roman"/>
          <w:b w:val="false"/>
          <w:i w:val="false"/>
          <w:color w:val="000000"/>
          <w:sz w:val="28"/>
        </w:rPr>
        <w:t>
      д) основные направления экономического развития Евразийского экономического союза;</w:t>
      </w:r>
      <w:r>
        <w:br/>
      </w:r>
      <w:r>
        <w:rPr>
          <w:rFonts w:ascii="Times New Roman"/>
          <w:b w:val="false"/>
          <w:i w:val="false"/>
          <w:color w:val="000000"/>
          <w:sz w:val="28"/>
        </w:rPr>
        <w:t>
      е) основные ориентиры макроэкономической политики государств-членов;</w:t>
      </w:r>
      <w:r>
        <w:br/>
      </w:r>
      <w:r>
        <w:rPr>
          <w:rFonts w:ascii="Times New Roman"/>
          <w:b w:val="false"/>
          <w:i w:val="false"/>
          <w:color w:val="000000"/>
          <w:sz w:val="28"/>
        </w:rPr>
        <w:t>
      ж) иные документы, материалы и информация для решения задач в соответствии с полномочиями Комиссии.</w:t>
      </w:r>
      <w:r>
        <w:br/>
      </w:r>
      <w:r>
        <w:rPr>
          <w:rFonts w:ascii="Times New Roman"/>
          <w:b w:val="false"/>
          <w:i w:val="false"/>
          <w:color w:val="000000"/>
          <w:sz w:val="28"/>
        </w:rPr>
        <w:t>
</w:t>
      </w:r>
      <w:r>
        <w:rPr>
          <w:rFonts w:ascii="Times New Roman"/>
          <w:b w:val="false"/>
          <w:i w:val="false"/>
          <w:color w:val="000000"/>
          <w:sz w:val="28"/>
        </w:rPr>
        <w:t>
      6. Информация, предоставляемая в соответствии с настоящим Порядком, является открытой для государств-членов.</w:t>
      </w:r>
      <w:r>
        <w:br/>
      </w:r>
      <w:r>
        <w:rPr>
          <w:rFonts w:ascii="Times New Roman"/>
          <w:b w:val="false"/>
          <w:i w:val="false"/>
          <w:color w:val="000000"/>
          <w:sz w:val="28"/>
        </w:rPr>
        <w:t>
</w:t>
      </w:r>
      <w:r>
        <w:rPr>
          <w:rFonts w:ascii="Times New Roman"/>
          <w:b w:val="false"/>
          <w:i w:val="false"/>
          <w:color w:val="000000"/>
          <w:sz w:val="28"/>
        </w:rPr>
        <w:t xml:space="preserve">
      7. Документы и материалы, подготовленные Комиссией на основе информации, предоставляемой уполномоченными органами, по согласованию с государствами-членами размещаются на официальном сайте Евразийского экономического союза в сети Интернет. </w:t>
      </w:r>
      <w:r>
        <w:br/>
      </w:r>
      <w:r>
        <w:rPr>
          <w:rFonts w:ascii="Times New Roman"/>
          <w:b w:val="false"/>
          <w:i w:val="false"/>
          <w:color w:val="000000"/>
          <w:sz w:val="28"/>
        </w:rPr>
        <w:t>
</w:t>
      </w:r>
      <w:r>
        <w:rPr>
          <w:rFonts w:ascii="Times New Roman"/>
          <w:b w:val="false"/>
          <w:i w:val="false"/>
          <w:color w:val="000000"/>
          <w:sz w:val="28"/>
        </w:rPr>
        <w:t>
      8. Комиссия обеспечивает необходимые организационные и технические меры и несет ответственность за хранение и защиту полученной информации от неправомерного или случайного доступа к ней, уничтожения, изменения, неправомочного копирования или распространения.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