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e29e" w14:textId="c7de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Инструкцию о порядке формирования данных таможенной статистики внешней торговли и статистики взаимной торговли государств - членов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4 декабря 2012 года № 257. Утратило силу решением Коллегии Евразийской экономической комиссии от 25 декабря 2018 года № 210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25.12.2018 </w:t>
      </w:r>
      <w:r>
        <w:rPr>
          <w:rFonts w:ascii="Times New Roman"/>
          <w:b w:val="false"/>
          <w:i w:val="false"/>
          <w:color w:val="ff0000"/>
          <w:sz w:val="28"/>
        </w:rPr>
        <w:t>№ 210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Инструкцию</w:t>
      </w:r>
      <w:r>
        <w:rPr>
          <w:rFonts w:ascii="Times New Roman"/>
          <w:b w:val="false"/>
          <w:i w:val="false"/>
          <w:color w:val="000000"/>
          <w:sz w:val="28"/>
        </w:rPr>
        <w:t xml:space="preserve"> о порядке формирования данных таможенной статистики внешней торговли и статистики взаимной торговли государств – членов Таможенного союза, утвержденную Решением Комиссии Таможенного союза от 18 октября 2011 г. № 837,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2972"/>
        <w:gridCol w:w="9328"/>
      </w:tblGrid>
      <w:tr>
        <w:trPr>
          <w:trHeight w:val="30" w:hRule="atLeast"/>
        </w:trPr>
        <w:tc>
          <w:tcPr>
            <w:tcW w:w="2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9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4 декабря 2012 г. № 257</w:t>
            </w:r>
          </w:p>
        </w:tc>
      </w:tr>
    </w:tbl>
    <w:bookmarkStart w:name="z5"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Инструкцию о порядке формирования данных таможенной</w:t>
      </w:r>
      <w:r>
        <w:br/>
      </w:r>
      <w:r>
        <w:rPr>
          <w:rFonts w:ascii="Times New Roman"/>
          <w:b/>
          <w:i w:val="false"/>
          <w:color w:val="000000"/>
        </w:rPr>
        <w:t>статистики внешней торговли и статистики взаимной торговли</w:t>
      </w:r>
      <w:r>
        <w:br/>
      </w:r>
      <w:r>
        <w:rPr>
          <w:rFonts w:ascii="Times New Roman"/>
          <w:b/>
          <w:i w:val="false"/>
          <w:color w:val="000000"/>
        </w:rPr>
        <w:t>государств – членов Таможенного союза</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после абзаца первого дополнить абзацем следующего содержания:</w:t>
      </w:r>
    </w:p>
    <w:bookmarkEnd w:id="4"/>
    <w:p>
      <w:pPr>
        <w:spacing w:after="0"/>
        <w:ind w:left="0"/>
        <w:jc w:val="both"/>
      </w:pPr>
      <w:r>
        <w:rPr>
          <w:rFonts w:ascii="Times New Roman"/>
          <w:b w:val="false"/>
          <w:i w:val="false"/>
          <w:color w:val="000000"/>
          <w:sz w:val="28"/>
        </w:rPr>
        <w:t>
      "Уполномоченные органы государств – членов Таможенного союза вправе издавать нормативные правовые акты, определяющие порядок исполнения настоящей Инструкции с учетом законодательства этих государств.".</w:t>
      </w:r>
    </w:p>
    <w:bookmarkStart w:name="z7" w:id="5"/>
    <w:p>
      <w:pPr>
        <w:spacing w:after="0"/>
        <w:ind w:left="0"/>
        <w:jc w:val="both"/>
      </w:pPr>
      <w:r>
        <w:rPr>
          <w:rFonts w:ascii="Times New Roman"/>
          <w:b w:val="false"/>
          <w:i w:val="false"/>
          <w:color w:val="000000"/>
          <w:sz w:val="28"/>
        </w:rPr>
        <w:t xml:space="preserve">
      2. Абзац пятый </w:t>
      </w:r>
      <w:r>
        <w:rPr>
          <w:rFonts w:ascii="Times New Roman"/>
          <w:b w:val="false"/>
          <w:i w:val="false"/>
          <w:color w:val="000000"/>
          <w:sz w:val="28"/>
        </w:rPr>
        <w:t>подпункта 11.3.1</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"во втором подразделе графы указан следующий код особенности перемещения товара при экспорте: 000, 001, 002, 003, 004, 013, 021, 063, 070, 071, 090, 096, 098, 100, 101, 102, 103, 104, 105, 113, 114, 123, 124, 150, 151, 152, 153, 172, 173;".</w:t>
      </w:r>
    </w:p>
    <w:bookmarkStart w:name="z8" w:id="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11.3.2</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абзацы второй и третий изложить в следующей редакции:</w:t>
      </w:r>
    </w:p>
    <w:bookmarkEnd w:id="7"/>
    <w:p>
      <w:pPr>
        <w:spacing w:after="0"/>
        <w:ind w:left="0"/>
        <w:jc w:val="both"/>
      </w:pPr>
      <w:r>
        <w:rPr>
          <w:rFonts w:ascii="Times New Roman"/>
          <w:b w:val="false"/>
          <w:i w:val="false"/>
          <w:color w:val="000000"/>
          <w:sz w:val="28"/>
        </w:rPr>
        <w:t>
      "в элементе 2 первого подраздела графы указан код таможенной процедуры "23" (временный вывоз – если фактический срок временного вывоза составил менее одного года), "40" (выпуск для внутреннего потребления), "60" (реимпорт) либо "00" (если предшествующая таможенная процедура не применялась);</w:t>
      </w:r>
    </w:p>
    <w:p>
      <w:pPr>
        <w:spacing w:after="0"/>
        <w:ind w:left="0"/>
        <w:jc w:val="both"/>
      </w:pPr>
      <w:r>
        <w:rPr>
          <w:rFonts w:ascii="Times New Roman"/>
          <w:b w:val="false"/>
          <w:i w:val="false"/>
          <w:color w:val="000000"/>
          <w:sz w:val="28"/>
        </w:rPr>
        <w:t>
      во втором подразделе графы указан следующий код особенности перемещения товара при экспорте: 000, 006, 007, 013, 063, 070, 071, 090, 096, 098, 100, 101, 103, 105, 151, 172, 173.";</w:t>
      </w:r>
    </w:p>
    <w:bookmarkStart w:name="z10" w:id="8"/>
    <w:p>
      <w:pPr>
        <w:spacing w:after="0"/>
        <w:ind w:left="0"/>
        <w:jc w:val="both"/>
      </w:pPr>
      <w:r>
        <w:rPr>
          <w:rFonts w:ascii="Times New Roman"/>
          <w:b w:val="false"/>
          <w:i w:val="false"/>
          <w:color w:val="000000"/>
          <w:sz w:val="28"/>
        </w:rPr>
        <w:t>
      в абзаце четвертом слова "после которого" исключить.</w:t>
      </w:r>
    </w:p>
    <w:bookmarkEnd w:id="8"/>
    <w:bookmarkStart w:name="z11" w:id="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11.3.3</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в абзаце втором слова "указано "00", если предшествующая таможенная процедура не применялась, либо" заменить словом "указан";</w:t>
      </w:r>
    </w:p>
    <w:bookmarkEnd w:id="10"/>
    <w:bookmarkStart w:name="z13" w:id="11"/>
    <w:p>
      <w:pPr>
        <w:spacing w:after="0"/>
        <w:ind w:left="0"/>
        <w:jc w:val="both"/>
      </w:pPr>
      <w:r>
        <w:rPr>
          <w:rFonts w:ascii="Times New Roman"/>
          <w:b w:val="false"/>
          <w:i w:val="false"/>
          <w:color w:val="000000"/>
          <w:sz w:val="28"/>
        </w:rPr>
        <w:t>
      абзац третий изложить в следующей редакции:</w:t>
      </w:r>
    </w:p>
    <w:bookmarkEnd w:id="11"/>
    <w:p>
      <w:pPr>
        <w:spacing w:after="0"/>
        <w:ind w:left="0"/>
        <w:jc w:val="both"/>
      </w:pPr>
      <w:r>
        <w:rPr>
          <w:rFonts w:ascii="Times New Roman"/>
          <w:b w:val="false"/>
          <w:i w:val="false"/>
          <w:color w:val="000000"/>
          <w:sz w:val="28"/>
        </w:rPr>
        <w:t>
      "во втором подразделе графы указан следующий код особенности перемещения товара при экспорте: 000, 001, 002, 013, 063, 070, 071, 090, 096, 098, 100, 101, 103, 105, 117, 127, 131, 132, 133, 134, 151, 172, 173;".</w:t>
      </w:r>
    </w:p>
    <w:bookmarkStart w:name="z14" w:id="12"/>
    <w:p>
      <w:pPr>
        <w:spacing w:after="0"/>
        <w:ind w:left="0"/>
        <w:jc w:val="both"/>
      </w:pPr>
      <w:r>
        <w:rPr>
          <w:rFonts w:ascii="Times New Roman"/>
          <w:b w:val="false"/>
          <w:i w:val="false"/>
          <w:color w:val="000000"/>
          <w:sz w:val="28"/>
        </w:rPr>
        <w:t xml:space="preserve">
      5. Абзац третий </w:t>
      </w:r>
      <w:r>
        <w:rPr>
          <w:rFonts w:ascii="Times New Roman"/>
          <w:b w:val="false"/>
          <w:i w:val="false"/>
          <w:color w:val="000000"/>
          <w:sz w:val="28"/>
        </w:rPr>
        <w:t>подпункта 11.3.4</w:t>
      </w:r>
      <w:r>
        <w:rPr>
          <w:rFonts w:ascii="Times New Roman"/>
          <w:b w:val="false"/>
          <w:i w:val="false"/>
          <w:color w:val="000000"/>
          <w:sz w:val="28"/>
        </w:rPr>
        <w:t xml:space="preserve"> изложить в следующей редакции:</w:t>
      </w:r>
    </w:p>
    <w:bookmarkEnd w:id="12"/>
    <w:p>
      <w:pPr>
        <w:spacing w:after="0"/>
        <w:ind w:left="0"/>
        <w:jc w:val="both"/>
      </w:pPr>
      <w:r>
        <w:rPr>
          <w:rFonts w:ascii="Times New Roman"/>
          <w:b w:val="false"/>
          <w:i w:val="false"/>
          <w:color w:val="000000"/>
          <w:sz w:val="28"/>
        </w:rPr>
        <w:t>
      "во втором подразделе графы указан следующий код особенности перемещения товара при экспорте: 000, 001, 002, 006, 007, 013, 063, 070, 071, 090, 096, 098, 100, 101, 102, 103, 104, 105, 151, 172, 173.".</w:t>
      </w:r>
    </w:p>
    <w:bookmarkStart w:name="z15" w:id="13"/>
    <w:p>
      <w:pPr>
        <w:spacing w:after="0"/>
        <w:ind w:left="0"/>
        <w:jc w:val="both"/>
      </w:pPr>
      <w:r>
        <w:rPr>
          <w:rFonts w:ascii="Times New Roman"/>
          <w:b w:val="false"/>
          <w:i w:val="false"/>
          <w:color w:val="000000"/>
          <w:sz w:val="28"/>
        </w:rPr>
        <w:t xml:space="preserve">
      6. Абзац третий </w:t>
      </w:r>
      <w:r>
        <w:rPr>
          <w:rFonts w:ascii="Times New Roman"/>
          <w:b w:val="false"/>
          <w:i w:val="false"/>
          <w:color w:val="000000"/>
          <w:sz w:val="28"/>
        </w:rPr>
        <w:t>подпункта 11.3.5</w:t>
      </w:r>
      <w:r>
        <w:rPr>
          <w:rFonts w:ascii="Times New Roman"/>
          <w:b w:val="false"/>
          <w:i w:val="false"/>
          <w:color w:val="000000"/>
          <w:sz w:val="28"/>
        </w:rPr>
        <w:t xml:space="preserve"> изложить в следующей редакции:</w:t>
      </w:r>
    </w:p>
    <w:bookmarkEnd w:id="13"/>
    <w:p>
      <w:pPr>
        <w:spacing w:after="0"/>
        <w:ind w:left="0"/>
        <w:jc w:val="both"/>
      </w:pPr>
      <w:r>
        <w:rPr>
          <w:rFonts w:ascii="Times New Roman"/>
          <w:b w:val="false"/>
          <w:i w:val="false"/>
          <w:color w:val="000000"/>
          <w:sz w:val="28"/>
        </w:rPr>
        <w:t>
      "во втором подразделе графы указан следующий код особенности перемещения товара при экспорте: 000, 001, 002, 013, 063, 070, 071, 090, 096, 098, 100, 101, 102, 103, 104, 105, 150, 151, 152, 172, 173.".</w:t>
      </w:r>
    </w:p>
    <w:bookmarkStart w:name="z16"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19.2</w:t>
      </w:r>
      <w:r>
        <w:rPr>
          <w:rFonts w:ascii="Times New Roman"/>
          <w:b w:val="false"/>
          <w:i w:val="false"/>
          <w:color w:val="000000"/>
          <w:sz w:val="28"/>
        </w:rPr>
        <w:t xml:space="preserve"> после абзаца первого дополнить абзацем следующего содержания:</w:t>
      </w:r>
    </w:p>
    <w:bookmarkEnd w:id="14"/>
    <w:p>
      <w:pPr>
        <w:spacing w:after="0"/>
        <w:ind w:left="0"/>
        <w:jc w:val="both"/>
      </w:pPr>
      <w:r>
        <w:rPr>
          <w:rFonts w:ascii="Times New Roman"/>
          <w:b w:val="false"/>
          <w:i w:val="false"/>
          <w:color w:val="000000"/>
          <w:sz w:val="28"/>
        </w:rPr>
        <w:t>
      "в Республике Казахстан – в графе 7 "Справочный номер" указан следующий код особенности таможенного декларирования товара в соответствии с Классификатором особенностей таможенного декларирования товаров: "КНС" (таможенное декларирование товаров, ввозимых по документам (контрактам) на недропользование, сохраняющим стабильность);".</w:t>
      </w:r>
    </w:p>
    <w:bookmarkStart w:name="z17" w:id="15"/>
    <w:p>
      <w:pPr>
        <w:spacing w:after="0"/>
        <w:ind w:left="0"/>
        <w:jc w:val="both"/>
      </w:pPr>
      <w:r>
        <w:rPr>
          <w:rFonts w:ascii="Times New Roman"/>
          <w:b w:val="false"/>
          <w:i w:val="false"/>
          <w:color w:val="000000"/>
          <w:sz w:val="28"/>
        </w:rPr>
        <w:t xml:space="preserve">
      8. Абзац третий </w:t>
      </w:r>
      <w:r>
        <w:rPr>
          <w:rFonts w:ascii="Times New Roman"/>
          <w:b w:val="false"/>
          <w:i w:val="false"/>
          <w:color w:val="000000"/>
          <w:sz w:val="28"/>
        </w:rPr>
        <w:t>подпункта 19.3.1</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"во втором подразделе графы указан следующий код особенности перемещения товара при импорте: 000, 001, 002, 003, 004, 013, 021, 063, 070, 071, 090, 096, 098, 100, 101, 133, 150, 151, 152, 171, 172,173;".</w:t>
      </w:r>
    </w:p>
    <w:bookmarkStart w:name="z18" w:id="1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подпункте 19.3.2</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абзацы второй и третий изложить в следующей редакции: "в элементе 2 первого подраздела графы указан следующий код таможенной процедуры: "10" (экспорт), "31" (реэкспорт), "53" (временный ввоз (допуск) – если фактический срок временного ввоза (допуска) составил менее одного года) либо "00" (если предшествующая таможенная процедура не применялась);</w:t>
      </w:r>
    </w:p>
    <w:bookmarkEnd w:id="17"/>
    <w:bookmarkStart w:name="z20" w:id="18"/>
    <w:p>
      <w:pPr>
        <w:spacing w:after="0"/>
        <w:ind w:left="0"/>
        <w:jc w:val="both"/>
      </w:pPr>
      <w:r>
        <w:rPr>
          <w:rFonts w:ascii="Times New Roman"/>
          <w:b w:val="false"/>
          <w:i w:val="false"/>
          <w:color w:val="000000"/>
          <w:sz w:val="28"/>
        </w:rPr>
        <w:t>
      во втором подразделе графы указан следующий код особенности перемещения товара при импорте: 000, 006, 007, 013, 063, 070, 071, 090, 096, 098, 100, 101, 151, 172,173.".</w:t>
      </w:r>
    </w:p>
    <w:bookmarkEnd w:id="18"/>
    <w:bookmarkStart w:name="z21" w:id="1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подпункте 19.3.3</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в абзаце втором слова "31" (реэкспорт)," исключить;</w:t>
      </w:r>
    </w:p>
    <w:bookmarkEnd w:id="20"/>
    <w:bookmarkStart w:name="z23" w:id="21"/>
    <w:p>
      <w:pPr>
        <w:spacing w:after="0"/>
        <w:ind w:left="0"/>
        <w:jc w:val="both"/>
      </w:pPr>
      <w:r>
        <w:rPr>
          <w:rFonts w:ascii="Times New Roman"/>
          <w:b w:val="false"/>
          <w:i w:val="false"/>
          <w:color w:val="000000"/>
          <w:sz w:val="28"/>
        </w:rPr>
        <w:t>
      абзац третий изложить в следующей редакции:</w:t>
      </w:r>
    </w:p>
    <w:bookmarkEnd w:id="21"/>
    <w:p>
      <w:pPr>
        <w:spacing w:after="0"/>
        <w:ind w:left="0"/>
        <w:jc w:val="both"/>
      </w:pPr>
      <w:r>
        <w:rPr>
          <w:rFonts w:ascii="Times New Roman"/>
          <w:b w:val="false"/>
          <w:i w:val="false"/>
          <w:color w:val="000000"/>
          <w:sz w:val="28"/>
        </w:rPr>
        <w:t>
      "во втором подразделе графы указан следующий код особенности перемещения товара при импорте: 000, 001, 002, 013, 063, 070, 071, 090, 096, 098, 100, 101, 129, 130, 151, 172, 173;".</w:t>
      </w:r>
    </w:p>
    <w:bookmarkStart w:name="z24" w:id="22"/>
    <w:p>
      <w:pPr>
        <w:spacing w:after="0"/>
        <w:ind w:left="0"/>
        <w:jc w:val="both"/>
      </w:pPr>
      <w:r>
        <w:rPr>
          <w:rFonts w:ascii="Times New Roman"/>
          <w:b w:val="false"/>
          <w:i w:val="false"/>
          <w:color w:val="000000"/>
          <w:sz w:val="28"/>
        </w:rPr>
        <w:t xml:space="preserve">
      11. Абзац третий </w:t>
      </w:r>
      <w:r>
        <w:rPr>
          <w:rFonts w:ascii="Times New Roman"/>
          <w:b w:val="false"/>
          <w:i w:val="false"/>
          <w:color w:val="000000"/>
          <w:sz w:val="28"/>
        </w:rPr>
        <w:t>подпункта 19.3.4</w:t>
      </w:r>
      <w:r>
        <w:rPr>
          <w:rFonts w:ascii="Times New Roman"/>
          <w:b w:val="false"/>
          <w:i w:val="false"/>
          <w:color w:val="000000"/>
          <w:sz w:val="28"/>
        </w:rPr>
        <w:t xml:space="preserve"> изложить в следующей редакции:</w:t>
      </w:r>
    </w:p>
    <w:bookmarkEnd w:id="22"/>
    <w:p>
      <w:pPr>
        <w:spacing w:after="0"/>
        <w:ind w:left="0"/>
        <w:jc w:val="both"/>
      </w:pPr>
      <w:r>
        <w:rPr>
          <w:rFonts w:ascii="Times New Roman"/>
          <w:b w:val="false"/>
          <w:i w:val="false"/>
          <w:color w:val="000000"/>
          <w:sz w:val="28"/>
        </w:rPr>
        <w:t>
      "во втором подразделе графы указан следующий код особенности перемещения товара при импорте: 000, 001, 002, 006, 007, 013, 063, 070, 071, 090, 096, 098, 100, 101, 129, 130, 150, 151, 152, 172, 173.".</w:t>
      </w:r>
    </w:p>
    <w:bookmarkStart w:name="z25" w:id="23"/>
    <w:p>
      <w:pPr>
        <w:spacing w:after="0"/>
        <w:ind w:left="0"/>
        <w:jc w:val="both"/>
      </w:pPr>
      <w:r>
        <w:rPr>
          <w:rFonts w:ascii="Times New Roman"/>
          <w:b w:val="false"/>
          <w:i w:val="false"/>
          <w:color w:val="000000"/>
          <w:sz w:val="28"/>
        </w:rPr>
        <w:t xml:space="preserve">
      12. Абзац третий </w:t>
      </w:r>
      <w:r>
        <w:rPr>
          <w:rFonts w:ascii="Times New Roman"/>
          <w:b w:val="false"/>
          <w:i w:val="false"/>
          <w:color w:val="000000"/>
          <w:sz w:val="28"/>
        </w:rPr>
        <w:t>подпункта 19.3.5</w:t>
      </w:r>
      <w:r>
        <w:rPr>
          <w:rFonts w:ascii="Times New Roman"/>
          <w:b w:val="false"/>
          <w:i w:val="false"/>
          <w:color w:val="000000"/>
          <w:sz w:val="28"/>
        </w:rPr>
        <w:t xml:space="preserve"> изложить в следующей редакции:</w:t>
      </w:r>
    </w:p>
    <w:bookmarkEnd w:id="23"/>
    <w:p>
      <w:pPr>
        <w:spacing w:after="0"/>
        <w:ind w:left="0"/>
        <w:jc w:val="both"/>
      </w:pPr>
      <w:r>
        <w:rPr>
          <w:rFonts w:ascii="Times New Roman"/>
          <w:b w:val="false"/>
          <w:i w:val="false"/>
          <w:color w:val="000000"/>
          <w:sz w:val="28"/>
        </w:rPr>
        <w:t>
      "во втором подразделе графы указан следующий код особенности перемещения товара при импорте: 000, 001, 002, 003, 013, 063, 070, 071, 090, 096, 098, 100, 101, 150, 151, 152, 172, 173.".</w:t>
      </w:r>
    </w:p>
    <w:bookmarkStart w:name="z26" w:id="2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подпункте 22.2.1</w:t>
      </w:r>
      <w:r>
        <w:rPr>
          <w:rFonts w:ascii="Times New Roman"/>
          <w:b w:val="false"/>
          <w:i w:val="false"/>
          <w:color w:val="000000"/>
          <w:sz w:val="28"/>
        </w:rPr>
        <w:t xml:space="preserve"> слова "последний день месяца, в котором осуществлялась поставка товаров, указанного" заменить словами "дата окончания периода поставки, указанная".</w:t>
      </w:r>
    </w:p>
    <w:bookmarkEnd w:id="24"/>
    <w:bookmarkStart w:name="z27" w:id="2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Подпункт 22.2.2</w:t>
      </w:r>
      <w:r>
        <w:rPr>
          <w:rFonts w:ascii="Times New Roman"/>
          <w:b w:val="false"/>
          <w:i w:val="false"/>
          <w:color w:val="000000"/>
          <w:sz w:val="28"/>
        </w:rPr>
        <w:t xml:space="preserve"> после слов "товара, выпущенного до подачи" дополнить словами "зарегистрированной до 1 ноября 2012 года".</w:t>
      </w:r>
    </w:p>
    <w:bookmarkEnd w:id="25"/>
    <w:bookmarkStart w:name="z28" w:id="2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Приложение 3</w:t>
      </w:r>
      <w:r>
        <w:rPr>
          <w:rFonts w:ascii="Times New Roman"/>
          <w:b w:val="false"/>
          <w:i w:val="false"/>
          <w:color w:val="000000"/>
          <w:sz w:val="28"/>
        </w:rPr>
        <w:t xml:space="preserve"> к указанной Инструкции изложить в следующей редакции:</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о порядке</w:t>
            </w:r>
            <w:r>
              <w:br/>
            </w:r>
            <w:r>
              <w:rPr>
                <w:rFonts w:ascii="Times New Roman"/>
                <w:b w:val="false"/>
                <w:i w:val="false"/>
                <w:color w:val="000000"/>
                <w:sz w:val="20"/>
              </w:rPr>
              <w:t>формирования данных таможенной</w:t>
            </w:r>
            <w:r>
              <w:br/>
            </w:r>
            <w:r>
              <w:rPr>
                <w:rFonts w:ascii="Times New Roman"/>
                <w:b w:val="false"/>
                <w:i w:val="false"/>
                <w:color w:val="000000"/>
                <w:sz w:val="20"/>
              </w:rPr>
              <w:t>статистики внешней торговли и статистики</w:t>
            </w:r>
            <w:r>
              <w:br/>
            </w:r>
            <w:r>
              <w:rPr>
                <w:rFonts w:ascii="Times New Roman"/>
                <w:b w:val="false"/>
                <w:i w:val="false"/>
                <w:color w:val="000000"/>
                <w:sz w:val="20"/>
              </w:rPr>
              <w:t>взаимной торговли государств –</w:t>
            </w:r>
            <w:r>
              <w:br/>
            </w:r>
            <w:r>
              <w:rPr>
                <w:rFonts w:ascii="Times New Roman"/>
                <w:b w:val="false"/>
                <w:i w:val="false"/>
                <w:color w:val="000000"/>
                <w:sz w:val="20"/>
              </w:rPr>
              <w:t>членов Таможенного союза</w:t>
            </w:r>
            <w:r>
              <w:br/>
            </w:r>
            <w:r>
              <w:rPr>
                <w:rFonts w:ascii="Times New Roman"/>
                <w:b w:val="false"/>
                <w:i w:val="false"/>
                <w:color w:val="000000"/>
                <w:sz w:val="20"/>
              </w:rPr>
              <w:t>(в редакции Решения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4 декабря 2012 г. № 257)</w:t>
            </w:r>
          </w:p>
        </w:tc>
      </w:tr>
    </w:tbl>
    <w:p>
      <w:pPr>
        <w:spacing w:after="0"/>
        <w:ind w:left="0"/>
        <w:jc w:val="left"/>
      </w:pPr>
      <w:r>
        <w:rPr>
          <w:rFonts w:ascii="Times New Roman"/>
          <w:b/>
          <w:i w:val="false"/>
          <w:color w:val="000000"/>
        </w:rPr>
        <w:t xml:space="preserve"> Особенности перемещения товаров,</w:t>
      </w:r>
      <w:r>
        <w:br/>
      </w:r>
      <w:r>
        <w:rPr>
          <w:rFonts w:ascii="Times New Roman"/>
          <w:b/>
          <w:i w:val="false"/>
          <w:color w:val="000000"/>
        </w:rPr>
        <w:t>учитываемые в таможенной статистике внешней торговли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7"/>
        <w:gridCol w:w="2462"/>
        <w:gridCol w:w="1250"/>
        <w:gridCol w:w="1251"/>
      </w:tblGrid>
      <w:tr>
        <w:trPr>
          <w:trHeight w:val="30" w:hRule="atLeast"/>
        </w:trPr>
        <w:tc>
          <w:tcPr>
            <w:tcW w:w="7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особенности перемещения товара</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особенности</w:t>
            </w:r>
          </w:p>
          <w:p>
            <w:pPr>
              <w:spacing w:after="20"/>
              <w:ind w:left="20"/>
              <w:jc w:val="both"/>
            </w:pPr>
            <w:r>
              <w:rPr>
                <w:rFonts w:ascii="Times New Roman"/>
                <w:b w:val="false"/>
                <w:i w:val="false"/>
                <w:color w:val="000000"/>
                <w:sz w:val="20"/>
              </w:rPr>
              <w:t>
перемещения</w:t>
            </w:r>
          </w:p>
          <w:p>
            <w:pPr>
              <w:spacing w:after="20"/>
              <w:ind w:left="20"/>
              <w:jc w:val="both"/>
            </w:pPr>
            <w:r>
              <w:rPr>
                <w:rFonts w:ascii="Times New Roman"/>
                <w:b w:val="false"/>
                <w:i w:val="false"/>
                <w:color w:val="000000"/>
                <w:sz w:val="20"/>
              </w:rPr>
              <w:t>
товара</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w:t>
            </w:r>
          </w:p>
          <w:p>
            <w:pPr>
              <w:spacing w:after="20"/>
              <w:ind w:left="20"/>
              <w:jc w:val="both"/>
            </w:pPr>
            <w:r>
              <w:rPr>
                <w:rFonts w:ascii="Times New Roman"/>
                <w:b w:val="false"/>
                <w:i w:val="false"/>
                <w:color w:val="000000"/>
                <w:sz w:val="20"/>
              </w:rPr>
              <w:t>
перемещения</w:t>
            </w:r>
          </w:p>
          <w:p>
            <w:pPr>
              <w:spacing w:after="20"/>
              <w:ind w:left="20"/>
              <w:jc w:val="both"/>
            </w:pPr>
            <w:r>
              <w:rPr>
                <w:rFonts w:ascii="Times New Roman"/>
                <w:b w:val="false"/>
                <w:i w:val="false"/>
                <w:color w:val="000000"/>
                <w:sz w:val="20"/>
              </w:rPr>
              <w:t>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перемещения товаров не установлены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оказания безвозмездной помощи и (или) на благотворительные цели</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гуманитарной помощи</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технической помощи, не подлежащие возврату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в целях предупреждения и ликвидации последствий стихийных бедствий, чрезвычайных ситуаций природного и техногенного характера, не подлежащие возврату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7"/>
        <w:gridCol w:w="1246"/>
        <w:gridCol w:w="633"/>
        <w:gridCol w:w="634"/>
      </w:tblGrid>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технической помощи, подлежащие возврату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в целях предупреждения и ликвидации последствий стихийных бедствий, чрезвычайных ситуаций природного и техногенного характера, подлежащие возврату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в качестве вклада в уставный капитал (фонд)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Рекламные материалы и сувенирная продукция, не подлежащие возврату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поставляемые по соглашениям о разделе продукции (за исключением Республики Беларусь)</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строительства (сооружения) искусственных островов, сооружений, иных объектов, находящихся за пределами территорий государств – членов Таможенного союза, в отношении которых государства – члены Таможенного союза обладают (будут обладать) исключительной юрисдикцией (за исключением Республики Беларусь)</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на искусственные острова, установки, сооружения и иные объекты или с искусственных островов, установок, сооружений и иных объектов, в отношении которых государства – члены Таможенного союза обладают исключительной юрисдикцией, и находящиеся за пределами таможенной территории Таможенного союза (за исключением Республики Беларусь)</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подготовки и (или) проведения XXII Олимпийских зимних игр и XI Паралимпийских зимних игр 2014 года в городе Сочи (за исключением Республики Беларусь)</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подготовки и (или) проведения VII Азиатских игр 2011 года в городах Астана и Алматы (за исключением Республики Беларусь)</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подготовки и (или) проведения саммита АТЭС 2012 года в городе Владивостоке (за исключением Республики Беларусь)</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строительства газопровода "Северный поток" (за исключением Республики Беларусь)</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строительства газопровода "Южный поток" (за исключением Республики Беларусь)</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изготовленные (полученные) в свободной (специальной, особой) экономической зоне, статус которых для таможенных целей определяется в соответствии с </w:t>
            </w:r>
            <w:r>
              <w:rPr>
                <w:rFonts w:ascii="Times New Roman"/>
                <w:b w:val="false"/>
                <w:i w:val="false"/>
                <w:color w:val="000000"/>
                <w:sz w:val="20"/>
              </w:rPr>
              <w:t>пунктом 7</w:t>
            </w:r>
            <w:r>
              <w:rPr>
                <w:rFonts w:ascii="Times New Roman"/>
                <w:b w:val="false"/>
                <w:i w:val="false"/>
                <w:color w:val="000000"/>
                <w:sz w:val="20"/>
              </w:rPr>
              <w:t xml:space="preserve"> статьи 19 Соглашения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находящиеся на территории свободной экономической зоны, на которой применяется таможенная процедура свободной таможенной зоны, которые не могут быть идентифицированы таможенным органом как товары, помещенные под одну из таможенных процедур (для Российской Федерации)</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5"/>
        <w:gridCol w:w="1038"/>
        <w:gridCol w:w="108"/>
        <w:gridCol w:w="529"/>
      </w:tblGrid>
      <w:tr>
        <w:trPr>
          <w:trHeight w:val="30"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изготовленные (полученные) на свободном складе, статус которых для таможенных целей определяется в соответствии с </w:t>
            </w:r>
            <w:r>
              <w:rPr>
                <w:rFonts w:ascii="Times New Roman"/>
                <w:b w:val="false"/>
                <w:i w:val="false"/>
                <w:color w:val="000000"/>
                <w:sz w:val="20"/>
              </w:rPr>
              <w:t>пунктом 7</w:t>
            </w:r>
            <w:r>
              <w:rPr>
                <w:rFonts w:ascii="Times New Roman"/>
                <w:b w:val="false"/>
                <w:i w:val="false"/>
                <w:color w:val="000000"/>
                <w:sz w:val="20"/>
              </w:rPr>
              <w:t xml:space="preserve"> статьи 16 Соглашения о свободных складах и таможенной процедуре свободного склада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находящиеся на территории свободного склада, на котором применяется таможенная процедура свободного склада, которые не могут быть идентифицированы таможенным органом как товары, помещенные под одну из таможенных процедур (для Российской Федерации)</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в свободной (специальной, особой) экономической зоне из товаров Таможенного союза, в том числе из товаров Таможенного союза, не помещенных под таможенную процедуру свободной таможенной зоны, и вывозимые за пределы таможенной территории Таможенного союза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в свободной (специальной, особой) экономической зоне с использованием иностранных товаров, помещенных под таможенную процедуру свободной таможенной зоны, признанные товарами Таможенного союза и вывозимые за пределы таможенной территории Таможенного союза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в свободной (специальной, особой) экономической зоне из товаров, помещенных под таможенную процедуру свободной таможенной зоны, в том числе с использованием товаров Таможенного союза, в отношении которых представлено заключение о признании товара, изготовленного (полученного) с использованием иностранных товаров, помещенных под таможенную процедуру свободной таможенной зоны, не являющимся товаром Таможенного союза, и вывозимые за пределы таможенной территории Таможенного союза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на свободном складе из товаров Таможенного союза, в том числе из товаров Таможенного союза, не помещенных под таможенную процедуру свободного склада, и вывозимые за пределы таможенной территории Таможенного союза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на свободном складе с использованием иностранных товаров, помещенных под таможенную процедуру свободного склада, признанные товарами Таможенного союза, и вывозимые за пределы таможенной территории Таможенного союза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8"/>
        <w:gridCol w:w="824"/>
        <w:gridCol w:w="419"/>
        <w:gridCol w:w="419"/>
      </w:tblGrid>
      <w:tr>
        <w:trPr>
          <w:trHeight w:val="30" w:hRule="atLeast"/>
        </w:trPr>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на свободном складе из товаров, помещенных под таможенную процедуру свободного склада, в том числе с использованием товаров Таможенного союза, в отношении которых представлено заключение о признании товара, изготовленного (полученного) с использованием иностранных товаров, помещенных под таможенную процедуру свободного склада, не являющимся товаромТаможенного союза, и вывозимые за пределы таможенной территории Таможенного союза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реимпорта, в отношении которых осуществляется возмещение ввозных таможенных пошлин, налогов и (или) процентов с них, сумм иных налогов, субсидий в соответствии с пунктом 3 статьи 293 Таможенного кодекса Таможенного союза, за исключением товаров, указанных под кодами 112, 122 (за исключением Республики Беларусь)</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помещаемые под таможенную процедуру реимпорта, в отношении которых не осуществляется возмещение ввозных таможенных пошлин, налогов и (или) процентов с них, сумм иных налогов, субсидий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293 Таможенного кодекса Таможенного союза, за исключением товаров, указанных под кодами 110, 111, 120 и 121 (за исключением Республики Беларусь)</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образовавшиеся в результате переработки товаров на таможенной территории Таможенного союза и переработки для внутреннего потребления</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образовавшиеся в результате переработки товаров на таможенной территории Таможенного союза и переработки для внутреннего потребления</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полученные в результате переработки товаров, помещенных под таможенные процедуры переработки на таможенной территории Таможенного союза, переработки вне таможенной территории Таможенного союза, переработки для внутреннего потребления, за исключением товаров (в том числе продуктов переработки на таможенной территории и переработки вне таможенной территории), указанных под кодом 044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переработки эквивалентных товаров, вывозимые с таможенной территории Таможенного союза в соответствии со  </w:t>
            </w:r>
            <w:r>
              <w:rPr>
                <w:rFonts w:ascii="Times New Roman"/>
                <w:b w:val="false"/>
                <w:i w:val="false"/>
                <w:color w:val="000000"/>
                <w:sz w:val="20"/>
              </w:rPr>
              <w:t>статьей 248</w:t>
            </w:r>
            <w:r>
              <w:rPr>
                <w:rFonts w:ascii="Times New Roman"/>
                <w:b w:val="false"/>
                <w:i w:val="false"/>
                <w:color w:val="000000"/>
                <w:sz w:val="20"/>
              </w:rPr>
              <w:t xml:space="preserve"> Таможенного кодекса Таможенного союза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по договору мены (для Республики Беларусь)</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по договору финансовой аренды (лизинга) (для Республики Беларусь)</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по договору дарения (для Республики Беларусь)</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вывозимые за пределы таможенной территории Таможенного союза с целью реализации без предварительного заключения сделки (для Республики Беларусь)</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3"/>
        <w:gridCol w:w="1189"/>
        <w:gridCol w:w="604"/>
        <w:gridCol w:w="604"/>
      </w:tblGrid>
      <w:tr>
        <w:trPr>
          <w:trHeight w:val="30" w:hRule="atLeast"/>
        </w:trPr>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помещенные под таможенную процедуру свободной таможенной зоны в Магаданской области Российской Федерации, предназначенные для собственных производственных и технологических нужд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(за исключением подакцизных товаров), перемещаемые для целей использования при строительстве, оборудовании и техническом оснащении объектов недвижимости на территории инновационного центра "Сколково" или необходимые для осуществления исследовательской деятельности участниками проекта, в отношении которых предоставляются субсидии на возмещение затрат по уплате ввозной таможенной пошлины и налога на добавленную стоимость (для Российской Федерации)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целей использования при строительстве, оборудовании и техническом оснащении объектов недвижимости на территории инновационного центра "Сколково" или необходимые для осуществления исследовательской деятельности участниками проекта, за исключением товаров, указанных под кодом 172 (для Российской Федерации)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Классификатор особенностей перемещения товаров, утвержденный Решением КТС № 378 (</w:t>
      </w:r>
      <w:r>
        <w:rPr>
          <w:rFonts w:ascii="Times New Roman"/>
          <w:b w:val="false"/>
          <w:i w:val="false"/>
          <w:color w:val="000000"/>
          <w:sz w:val="28"/>
        </w:rPr>
        <w:t>приложение 2</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