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8eac" w14:textId="95e8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рассмотрения заявлений (материалов) о нарушении правил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ноября 2012 года № 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Порядке рассмотрения заявлений (материалов) о нарушении правил конкуренции» (прилагается) и внести его для рассмотрения на очередном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61300" cy="151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613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_________2012 г.             №                   г. Москва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Порядке рассмотрения заявлений (материалов) о нарушении</w:t>
      </w:r>
      <w:r>
        <w:br/>
      </w:r>
      <w:r>
        <w:rPr>
          <w:rFonts w:ascii="Times New Roman"/>
          <w:b/>
          <w:i w:val="false"/>
          <w:color w:val="000000"/>
        </w:rPr>
        <w:t>
правил конкуренции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заявлений (материалов) о нарушении правил конкуренции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после принятия решения Высшего Евразийского экономического совета, фиксирующего факт исполнения требований,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статьями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конкуренции от 9 декабря 2010 года, и введения в действие соглашения, определяющего порядок защиты конфиденциальной информации и ответственность за ее разглашение, по истечении 10 календарных дней с той даты вступления в силу указанных актов, которая является более поздней.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3"/>
        <w:gridCol w:w="4633"/>
        <w:gridCol w:w="3573"/>
      </w:tblGrid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«___» ___________2012 г. № __</w:t>
      </w:r>
    </w:p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рассмотрения заявлений (материалов)о нарушении правил</w:t>
      </w:r>
      <w:r>
        <w:br/>
      </w:r>
      <w:r>
        <w:rPr>
          <w:rFonts w:ascii="Times New Roman"/>
          <w:b/>
          <w:i w:val="false"/>
          <w:color w:val="000000"/>
        </w:rPr>
        <w:t>
конкуренции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на основании части 4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пункта 5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конкуренции от 9 декабря 2010 года (далее – Соглашение) и применяется Евразийской экономической комиссией (далее – Комиссия) при рассмотрении заявлений (материалов) о нарушении правил конкуренции, установленных в </w:t>
      </w:r>
      <w:r>
        <w:rPr>
          <w:rFonts w:ascii="Times New Roman"/>
          <w:b w:val="false"/>
          <w:i w:val="false"/>
          <w:color w:val="000000"/>
          <w:sz w:val="28"/>
        </w:rPr>
        <w:t>разделе III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(далее – правила конкуренции).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Порядке используются понятия, определенные в статье 2 Соглашения. 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Требования к заявлениям (материалам)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Заявления о нарушении правил конкуренции (далее – заявления) подаются в Комиссию юридическими и физическими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Материалы о нарушении правил конкуренции, рассмотрение которых входит в компетенцию Комиссии (далее – материалы), представляются в Комиссию органами государственной власти государств – членов Таможенного союза и Единого экономического пространства (далее – государства-члены), в компетенцию которых входит реализация конкурентной (антимонопольной) политики (далее – уполномоченные органы).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Заявление подается в письменном виде в произвольной форме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заявителе,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– фамилию, имя, отчество (при наличии), адрес места жительства и регистрации, контактную информацию (при наличии – номер телефона, адрес электронной почты, номер факса);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– наименование юридического лица, адрес места нахождения, контактную информацию (при наличии – номер телефона, адрес электронной почты, номер факса);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имеющиеся у заявителя сведения о лицах, в отношении которых подается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описание действий (бездействия) лиц, которые, по мнению заявителя, противоречат правилам конкуренции;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существо требований, с которыми заявитель обращается.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физического лица – копия паспорта или иного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– копия свидетельства о регистрации и документы, подтверждающие полномочия лица на подписание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которые, по мнению заявителя, имеют отношение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рассмотрению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Материалы содержат: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имеющиеся у уполномоченного органа сведения о лицах, в отношении которых подаются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действий (бездействия) лиц, которые, по мнению уполномоченного органа, противоречат правилам конкуренции;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документы, свидетельствующие о признаках нарушения правил конкуренции;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основание для направления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кандидатуры сотрудников уполномоченного органа (с указанием должности), ответственных за взаимодействие с Комиссией при проведении ею расследования нарушений правил конкуренции.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невозможности представления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 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Порядка, в заявлении (материалах) указывается причина невозможности их представления, а также предполагаемые лица и (или) органы государственной власти, у которых документы могут быть получены.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(материалам) прилагается опись всех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Заявление, представляемое физическим лицом, и прилагаемые к нему документы должны быть прошиты, пронумерованы и заверены подписью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Заявление, представляемое юридическим лицом, и прилагаемые к нему документы должны быть прошиты, пронумерованы, заверены подписью руководителя (уполномоченного лица) и скреплены печатью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Конфиденциальная информация, содержащаяся в документах и сведениях, не может служить основанием для отказа в их представлении в Комиссию. При этом в заявлении (материалах) указывается исчерпывающий перечень документов и сведений, содержащих конфиденциальную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защиты представленной в Комиссию конфиденциальной информации и ответственность сотрудников Комиссии за ее разглашение устанавливаются соответствующим соглашением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Заявление (материалы), а также прилагаемые к нему документы и сведения представляются на русском языке. В случае если документы и сведения составлены на иностранном языке, к ним прилагается заверенный в установленном порядке перевод на русский язык.</w:t>
      </w:r>
    </w:p>
    <w:bookmarkEnd w:id="10"/>
    <w:bookmarkStart w:name="z5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Порядок рассмотрения заявления (материалов)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рассматривает заявление (материалы) в срок, не превышающий 30 рабочих дней со дня регистрации заявления (материалов) 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Поступившее в Комиссию заявление (материалы) направляется члену Коллегии Комиссии, курирующему вопросы конкуренции и антимонопольного регулирования, который в течение 3 рабочих дней со дня регистрации заявления (материалов) в Комиссии передает его в структурное подразделение Комиссии, определенное им ответственным за рассмотрение заявления (материалов).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Ответственное структурное подразделение Комиссии в срок не позднее 2 рабочих дней со дня поступления от члена Коллегии Комиссии, курирующего вопросы конкуренции и антимонопольного регулирования, заявления (материалов) направляет копии заявления (материалов) и прилагаемых к нему документов уполномоченным органам, а также члену Коллегии Комиссии, курирующему вопросы энергетики и инфраструктуры, в случае если заявление (материалы) подано в отношении хозяйствующего субъекта, являющегося субъектом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материалов не направляются уполномоченному органу, представившему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не позднее 10 рабочих дней со дня получения ими заявления (материалов) направляют в Комиссию имеющиеся у них документы и материалы, необходимые для полного и всестороннего рассмотрения заявления (материалов), а также предлагают кандидатуры сотрудников уполномоченных органов (с указанием должности), ответственных за взаимодействие с Комиссией при проведении ею расследования нарушений правил конкуренции.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 Коллегии Комиссии, курирующий вопросы энергетики и инфраструктуры, не позднее 10 рабочих дней со дня получения им заявления (материалов) направляет члену Коллегии Комиссии, курирующему вопросы конкуренции и антимонопольного регулирования, заключение о необходимости учета особенностей, предусмотренных в соглашениях государств-членов, касающихся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Ответственное структурное подразделение Комиссии в срок, не превышающий 30 рабочих дней со дня регистрации заявления (материалов) в Комиссии, рассматривает заявление (материалы) и по результатам рассмотрения подготавливает одно из следующих определений: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проведении расследования нарушений правил конкуренции;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передаче заявления (материалов) по подведомственности в уполномоченные органы;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 возвращении заявления (материалов).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Определения,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подписываются членом Коллегии Комиссии, курирующим вопросы конкуренции и антимонопольного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определение подготавливается по результатам рассмотрения заявления (материалов), поданного в отношении хозяйствующего субъекта, являющегося субъектом естественных монополий, оно подлежит предварительному согласованию с членом Коллегии Комиссии, курирующим вопросы энергетики и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определении о проведении расследования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начала проведения расследования;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сотрудниках Комиссии, проводящих расследование (такими сотрудниками являются сотрудники структурного подразделения Комиссии, обеспечивающего проведение расследований и подготовку материалов, а при проведении расследования в отношении хозяйствующего субъекта, являющегося субъектом естественной монополии, – также сотрудники, которым членом Коллегии Комиссии, курирующим вопросы энергетики и инфраструктуры, даны соответствующие поручения);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сотрудниках уполномоченных органов, ответственных за взаимодействие с Комиссией при проведении ею расследования нарушений правил конкуренции.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Определение о передаче заявления (материалов) по подведомственности в уполномоченные органы выносится в случае, если нарушения, указанные в заявлении (материалах), не относятся к компетенции Комиссии и на основании имеющихся в заявлении (материалах) сведений может быть сделан вывод о наличии признаков нарушения конкурентного (антимонопольного) законодательства государства-члена (государств-членов). Указанное определение направляется в соответствующий уполномоченный орган с приложением всех имеющихся документов и обоснованием передачи заявления (материалов) в этот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Определение о возвращении заявления (материалов) выносится в случае, если в заявлении (материалах) отсутствуют сведения,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Порядка. Указанное определение направляется заявителю (уполномоченному органу) с приложением всех представленных заявителем (уполномоченным органом) документов с обоснованием возврата заявления (материалов).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причины, по которым заявление (материалы) было возвращено, в последующем были устранены, заявление (материалы) вместе с прилагаемыми документами может быть вновь представлено в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Копия определения,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не позднее 3 рабочих дней со дня подписания определения членом Коллегии Комиссии, курирующим вопросы конкуренции и антимонопольного регулирования, направляется заявителю и уполномоченным органам независимо от основания рассмотрения заявления (материалов).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определение подготовлено по результатам рассмотрения заявления (материалов), поданного в отношении хозяйствующего субъекта, являющегося субъектом естественных монополий, его копия направляется члену Коллегии Комиссии, курирующему вопросы энергетики и инфраструктуры, не позднее 3 рабочих дней со дня его подписания.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