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fb50" w14:textId="120f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единых принципах регулирования в сфере охраны и защиты прав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комиссии, приняв во внимание информацию члена Коллегии (Министра) по экономике и финансовой политике Евразийской экономической комиссии Сулейменова Т.М. о нецелесообразности создания Координационного совета Единого экономического пространства по интеллектуальной собственности,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регулирования в сфере охраны и защиты прав интеллектуальной собственности от 9 декабря 2010 года,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Признать, что в сферу ведения созданного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2012 г. № 172 Консультативного комитета по интеллектуальной собственности при Коллегии Евразийской экономической комиссии входят вопросы, отнесенные к компетенции Координационного совета Единого экономического пространства по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целесообразным при проведении работ по кодификации договорно-правовой базы Таможенного союза и Единого экономического пространства учесть положения настоящего Решения с целью совершенствования структуры консультативных органов при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Исключить пункт 8.4 из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Единое экономическое пространство, утвержденного Решением Совета Евразийской экономической комиссии от 14 мая 2012 г. № 29.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