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0fcb" w14:textId="ce70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вышивок из химических нитей и трикотажных полотен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2012 года № 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установлении ставок ввозных таможенных пошлин Единого таможенного тарифа Таможенного союза в отношении отдельных видов вышивок из химических нитей и трикотажных полотен»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8613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_______2012 г.            №                 г. Москва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ставок 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
Единого таможенного тарифа Таможенного союза в</w:t>
      </w:r>
      <w:r>
        <w:br/>
      </w:r>
      <w:r>
        <w:rPr>
          <w:rFonts w:ascii="Times New Roman"/>
          <w:b/>
          <w:i w:val="false"/>
          <w:color w:val="000000"/>
        </w:rPr>
        <w:t>
отношении отдельных видов вышивок из химических нитей и</w:t>
      </w:r>
      <w:r>
        <w:br/>
      </w:r>
      <w:r>
        <w:rPr>
          <w:rFonts w:ascii="Times New Roman"/>
          <w:b/>
          <w:i w:val="false"/>
          <w:color w:val="000000"/>
        </w:rPr>
        <w:t>
трикотажных полотен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вышивок из химических нитей и трикотажных полотен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4393"/>
        <w:gridCol w:w="347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____________№ ____________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7193"/>
        <w:gridCol w:w="285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США)</w:t>
            </w:r>
          </w:p>
        </w:tc>
      </w:tr>
      <w:tr>
        <w:trPr>
          <w:trHeight w:val="5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5810 92 100 0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–––ценой более 17,50 евро/кг (нетто-масса)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5810 92 900 0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6002 40 000 0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–содержащие 5 мас.% или более эластомерных нитей, но не содержащие резиновых нитей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6003 30 100 0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––кружево основовязаное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6004 10 000 0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–содержащие 5 мас.% или более эластомерных нитей, но не содержащие резиновых нитей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6005 32 500 0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–––кружево основовязаное, кроме полотна для гардин или полотна для тюлевых занавесей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