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5757" w14:textId="61e5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Инструкцию о порядке совершения таможенных операций в отношении товаров для личного пользования, перемещаемых физическими лицами через таможенную границу, и отражении факта признания таких товаров не находящимися под таможенным контролем</w:t>
      </w:r>
    </w:p>
    <w:p>
      <w:pPr>
        <w:spacing w:after="0"/>
        <w:ind w:left="0"/>
        <w:jc w:val="both"/>
      </w:pPr>
      <w:r>
        <w:rPr>
          <w:rFonts w:ascii="Times New Roman"/>
          <w:b w:val="false"/>
          <w:i w:val="false"/>
          <w:color w:val="000000"/>
          <w:sz w:val="28"/>
        </w:rPr>
        <w:t>Решение Коллегии Евразийской экономической комиссии от 2 октября 2012 года № 183</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Инструкцию</w:t>
      </w:r>
      <w:r>
        <w:rPr>
          <w:rFonts w:ascii="Times New Roman"/>
          <w:b w:val="false"/>
          <w:i w:val="false"/>
          <w:color w:val="000000"/>
          <w:sz w:val="28"/>
        </w:rPr>
        <w:t xml:space="preserve"> о порядке совершения таможенных операций в отношении товаров для личного пользования, перемещаемых физическими лицами через таможенную границу, и отражении факта признания таких товаров не находящимися под таможенным контролем, утвержденную Решением Комиссии Таможенного союза от 18 июня 2010 года № 311, изменения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 1 января 2013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Вр.и.о. Председателя Коллегии              Т.Д. Валовая</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Коллегии Евразийской экономической  </w:t>
      </w:r>
      <w:r>
        <w:br/>
      </w:r>
      <w:r>
        <w:rPr>
          <w:rFonts w:ascii="Times New Roman"/>
          <w:b w:val="false"/>
          <w:i w:val="false"/>
          <w:color w:val="000000"/>
          <w:sz w:val="28"/>
        </w:rPr>
        <w:t xml:space="preserve">
комиссии от 2 октября 2012 г. № 183    </w:t>
      </w:r>
    </w:p>
    <w:bookmarkEnd w:id="1"/>
    <w:bookmarkStart w:name="z5" w:id="2"/>
    <w:p>
      <w:pPr>
        <w:spacing w:after="0"/>
        <w:ind w:left="0"/>
        <w:jc w:val="left"/>
      </w:pPr>
      <w:r>
        <w:rPr>
          <w:rFonts w:ascii="Times New Roman"/>
          <w:b/>
          <w:i w:val="false"/>
          <w:color w:val="000000"/>
        </w:rPr>
        <w:t xml:space="preserve"> 
Изменения, вносимые в Инструкцию о порядке совершения</w:t>
      </w:r>
      <w:r>
        <w:br/>
      </w:r>
      <w:r>
        <w:rPr>
          <w:rFonts w:ascii="Times New Roman"/>
          <w:b/>
          <w:i w:val="false"/>
          <w:color w:val="000000"/>
        </w:rPr>
        <w:t>
таможенных операций в отношении товаров для личного</w:t>
      </w:r>
      <w:r>
        <w:br/>
      </w:r>
      <w:r>
        <w:rPr>
          <w:rFonts w:ascii="Times New Roman"/>
          <w:b/>
          <w:i w:val="false"/>
          <w:color w:val="000000"/>
        </w:rPr>
        <w:t>
пользования, перемещаемых физическими лицами через таможенную</w:t>
      </w:r>
      <w:r>
        <w:br/>
      </w:r>
      <w:r>
        <w:rPr>
          <w:rFonts w:ascii="Times New Roman"/>
          <w:b/>
          <w:i w:val="false"/>
          <w:color w:val="000000"/>
        </w:rPr>
        <w:t>
границу, и отражении факта признания таких товаров не</w:t>
      </w:r>
      <w:r>
        <w:br/>
      </w:r>
      <w:r>
        <w:rPr>
          <w:rFonts w:ascii="Times New Roman"/>
          <w:b/>
          <w:i w:val="false"/>
          <w:color w:val="000000"/>
        </w:rPr>
        <w:t>
находящимися под таможенным контролем</w:t>
      </w:r>
    </w:p>
    <w:bookmarkEnd w:id="2"/>
    <w:bookmarkStart w:name="z6" w:id="3"/>
    <w:p>
      <w:pPr>
        <w:spacing w:after="0"/>
        <w:ind w:left="0"/>
        <w:jc w:val="both"/>
      </w:pPr>
      <w:r>
        <w:rPr>
          <w:rFonts w:ascii="Times New Roman"/>
          <w:b w:val="false"/>
          <w:i w:val="false"/>
          <w:color w:val="000000"/>
          <w:sz w:val="28"/>
        </w:rPr>
        <w:t>
      1. В </w:t>
      </w:r>
      <w:r>
        <w:rPr>
          <w:rFonts w:ascii="Times New Roman"/>
          <w:b w:val="false"/>
          <w:i w:val="false"/>
          <w:color w:val="000000"/>
          <w:sz w:val="28"/>
        </w:rPr>
        <w:t>пункте 3</w:t>
      </w:r>
      <w:r>
        <w:rPr>
          <w:rFonts w:ascii="Times New Roman"/>
          <w:b w:val="false"/>
          <w:i w:val="false"/>
          <w:color w:val="000000"/>
          <w:sz w:val="28"/>
        </w:rPr>
        <w:t xml:space="preserve"> слово «Декларирование» заменить словами «Таможенное декларирование».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16</w:t>
      </w:r>
      <w:r>
        <w:rPr>
          <w:rFonts w:ascii="Times New Roman"/>
          <w:b w:val="false"/>
          <w:i w:val="false"/>
          <w:color w:val="000000"/>
          <w:sz w:val="28"/>
        </w:rPr>
        <w:t xml:space="preserve"> после слов «оформления таможенным органом» дополнить словами «с учетом положений </w:t>
      </w:r>
      <w:r>
        <w:rPr>
          <w:rFonts w:ascii="Times New Roman"/>
          <w:b w:val="false"/>
          <w:i w:val="false"/>
          <w:color w:val="000000"/>
          <w:sz w:val="28"/>
        </w:rPr>
        <w:t>пункта 19</w:t>
      </w:r>
      <w:r>
        <w:rPr>
          <w:rFonts w:ascii="Times New Roman"/>
          <w:b w:val="false"/>
          <w:i w:val="false"/>
          <w:color w:val="000000"/>
          <w:sz w:val="28"/>
        </w:rPr>
        <w:t xml:space="preserve"> настоящей Инструкции». </w:t>
      </w:r>
      <w:r>
        <w:br/>
      </w:r>
      <w:r>
        <w:rPr>
          <w:rFonts w:ascii="Times New Roman"/>
          <w:b w:val="false"/>
          <w:i w:val="false"/>
          <w:color w:val="000000"/>
          <w:sz w:val="28"/>
        </w:rPr>
        <w:t>
</w:t>
      </w:r>
      <w:r>
        <w:rPr>
          <w:rFonts w:ascii="Times New Roman"/>
          <w:b w:val="false"/>
          <w:i w:val="false"/>
          <w:color w:val="000000"/>
          <w:sz w:val="28"/>
        </w:rPr>
        <w:t>
      3. Часть четвертую </w:t>
      </w:r>
      <w:r>
        <w:rPr>
          <w:rFonts w:ascii="Times New Roman"/>
          <w:b w:val="false"/>
          <w:i w:val="false"/>
          <w:color w:val="000000"/>
          <w:sz w:val="28"/>
        </w:rPr>
        <w:t>пункта 17</w:t>
      </w:r>
      <w:r>
        <w:rPr>
          <w:rFonts w:ascii="Times New Roman"/>
          <w:b w:val="false"/>
          <w:i w:val="false"/>
          <w:color w:val="000000"/>
          <w:sz w:val="28"/>
        </w:rPr>
        <w:t xml:space="preserve"> после слова «информирует» дополнить словами «с использованием национального программного средства».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Таможенное декларирование транспортных средств для личного пользования, зарегистрированных на территории иностранного государства и временно ввезенных на таможенную территорию, при их обратном вывозе физическими лицами за пределы такой территории осуществляется декларантом путем подачи должностному лицу уполномоченного таможенного органа декларации (иного документа), оформленной (оформленного) при временном ввозе таких транспортных средств.</w:t>
      </w:r>
      <w:r>
        <w:br/>
      </w:r>
      <w:r>
        <w:rPr>
          <w:rFonts w:ascii="Times New Roman"/>
          <w:b w:val="false"/>
          <w:i w:val="false"/>
          <w:color w:val="000000"/>
          <w:sz w:val="28"/>
        </w:rPr>
        <w:t>
      Должностным лицом уполномоченного таможенного органа в разделе «Для служебных отметок» декларации (иного документа), указанной (указанного) в части первой настоящего пункта, вносится запись «Вывоз» и проставляется дата внесения такой записи. Запись заверяется оттиском личной номерной печати должностного лица уполномоченного таможенного органа. Данный экземпляр декларации (иного документа) возвращается физическому лицу.</w:t>
      </w:r>
      <w:r>
        <w:br/>
      </w:r>
      <w:r>
        <w:rPr>
          <w:rFonts w:ascii="Times New Roman"/>
          <w:b w:val="false"/>
          <w:i w:val="false"/>
          <w:color w:val="000000"/>
          <w:sz w:val="28"/>
        </w:rPr>
        <w:t>
      При наличии у физических лиц, осуществляющих обратный вывоз транспортных средств, указанных в части первой настоящего пункта, иных товаров, подлежащих таможенному декларированию, таможенное декларирование таких товаров осуществляется декларантом путем подачи должностному лицу уполномоченного таможенного органа отдельной декларации, заполненной при их вывозе.</w:t>
      </w:r>
      <w:r>
        <w:br/>
      </w:r>
      <w:r>
        <w:rPr>
          <w:rFonts w:ascii="Times New Roman"/>
          <w:b w:val="false"/>
          <w:i w:val="false"/>
          <w:color w:val="000000"/>
          <w:sz w:val="28"/>
        </w:rPr>
        <w:t>
      В случае утраты декларации (иного документа), указанной (указанного) в части первой настоящего пункта, таможенное декларирование транспортных средств, указанных в части первой настоящего пункта, при их обратном вывозе осуществляется путем подачи должностному лицу уполномоченного таможенного органа декларации, заполненной при их обратном вывозе. При этом, если у физического лица, осуществляющего обратный вывоз таких транспортных средств, имеются товары, подлежащие таможенному декларированию, такие товары могут декларироваться в одной декларации с обратно вывозимыми транспортными средствами. В представленной декларации должностным лицом уполномоченного таможенного органа проставляются отметки, свидетельствующие о выпуске (отказе в выпуске). Данный экземпляр декларации возвращается физическому лицу.</w:t>
      </w:r>
      <w:r>
        <w:br/>
      </w:r>
      <w:r>
        <w:rPr>
          <w:rFonts w:ascii="Times New Roman"/>
          <w:b w:val="false"/>
          <w:i w:val="false"/>
          <w:color w:val="000000"/>
          <w:sz w:val="28"/>
        </w:rPr>
        <w:t>
      Порядок оформления таможенным органом иного документа, предусмотренного в </w:t>
      </w:r>
      <w:r>
        <w:rPr>
          <w:rFonts w:ascii="Times New Roman"/>
          <w:b w:val="false"/>
          <w:i w:val="false"/>
          <w:color w:val="000000"/>
          <w:sz w:val="28"/>
        </w:rPr>
        <w:t>пункте 16</w:t>
      </w:r>
      <w:r>
        <w:rPr>
          <w:rFonts w:ascii="Times New Roman"/>
          <w:b w:val="false"/>
          <w:i w:val="false"/>
          <w:color w:val="000000"/>
          <w:sz w:val="28"/>
        </w:rPr>
        <w:t xml:space="preserve"> настоящей Инструкции (в случае его использования), при осуществлении обратного вывоза временно ввезенных авто-, мототранспортных средств определяется центральным таможенным органом.</w:t>
      </w:r>
      <w:r>
        <w:br/>
      </w:r>
      <w:r>
        <w:rPr>
          <w:rFonts w:ascii="Times New Roman"/>
          <w:b w:val="false"/>
          <w:i w:val="false"/>
          <w:color w:val="000000"/>
          <w:sz w:val="28"/>
        </w:rPr>
        <w:t>
      Таможенный орган, осуществивший выпуск транспортных средств, указанных в части первой настоящего пункта, при их обратном вывозе информирует об этом при помощи национального программного средства таможенный орган, оформивший временный ввоз таких транспортных средств.».</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пункте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слово «декларировании» заменить словами «таможенном декларировании»;</w:t>
      </w:r>
      <w:r>
        <w:br/>
      </w:r>
      <w:r>
        <w:rPr>
          <w:rFonts w:ascii="Times New Roman"/>
          <w:b w:val="false"/>
          <w:i w:val="false"/>
          <w:color w:val="000000"/>
          <w:sz w:val="28"/>
        </w:rPr>
        <w:t>
</w:t>
      </w:r>
      <w:r>
        <w:rPr>
          <w:rFonts w:ascii="Times New Roman"/>
          <w:b w:val="false"/>
          <w:i w:val="false"/>
          <w:color w:val="000000"/>
          <w:sz w:val="28"/>
        </w:rPr>
        <w:t>
      в части третьей после слов «(далее – предварительная декларация)» дополнить словами «в двух экземплярах»;</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«Один экземпляр предварительной декларации хранится в таможенном органе совместно с декларацией, составленной в отношении товаров, перемещаемых в сопровождаемом багаже, до прибытия товаров в досылаемом из-за границы багаже, другой экземпляр предварительной декларации – у декларанта (перевозчика или иного уполномоченного лица).»;</w:t>
      </w:r>
      <w:r>
        <w:br/>
      </w:r>
      <w:r>
        <w:rPr>
          <w:rFonts w:ascii="Times New Roman"/>
          <w:b w:val="false"/>
          <w:i w:val="false"/>
          <w:color w:val="000000"/>
          <w:sz w:val="28"/>
        </w:rPr>
        <w:t>
</w:t>
      </w:r>
      <w:r>
        <w:rPr>
          <w:rFonts w:ascii="Times New Roman"/>
          <w:b w:val="false"/>
          <w:i w:val="false"/>
          <w:color w:val="000000"/>
          <w:sz w:val="28"/>
        </w:rPr>
        <w:t>
      в части пятой слова «, хранящейся в таможенном органе совместно с декларацией, составленной в отношении товаров, перемещаемых в сопровождаемом багаже,» исключить.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В отношении товаров, которые приняты авиаперевозчиком к перевозке в сопровождаемом багаже с местом отправления на таможенной территории (за пределами таможенной территории) в место назначения за пределами таможенной территории (на таможенной территории) с промежуточной посадкой в месте убытия с таможенной территории (месте прибытия на таможенную территорию), если место отправления и место убытия или место прибытия и место назначения соответственно расположены на территории одного государства – члена Таможенного союза, законодательством такого государства могут быть установлены особенности совершения таможенных операций на территории такого государства, а также условия и требования к авиаперевозчикам, оборудованию и техническому оснащению мест убытия (мест прибытия), необходимые для совершения таких операций.».</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