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d794c" w14:textId="55d79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введения в действие технического регламента Таможенного союза "О безопасности взрывчатых веществ и изделий на их основе" (ТР ТС 028/2012)</w:t>
      </w:r>
    </w:p>
    <w:p>
      <w:pPr>
        <w:spacing w:after="0"/>
        <w:ind w:left="0"/>
        <w:jc w:val="both"/>
      </w:pPr>
      <w:r>
        <w:rPr>
          <w:rFonts w:ascii="Times New Roman"/>
          <w:b w:val="false"/>
          <w:i w:val="false"/>
          <w:color w:val="000000"/>
          <w:sz w:val="28"/>
        </w:rPr>
        <w:t>Решение Коллегии Евразийской экономической комиссии от 2 октября 2012 года № 179.</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Утратил силу решением Коллегии Евразийской экономической комиссии от 25.12.2018 </w:t>
      </w:r>
      <w:r>
        <w:rPr>
          <w:rFonts w:ascii="Times New Roman"/>
          <w:b w:val="false"/>
          <w:i w:val="false"/>
          <w:color w:val="000000"/>
          <w:sz w:val="28"/>
        </w:rPr>
        <w:t>№ 218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2. Установить:</w:t>
      </w:r>
    </w:p>
    <w:bookmarkEnd w:id="1"/>
    <w:bookmarkStart w:name="z6" w:id="2"/>
    <w:p>
      <w:pPr>
        <w:spacing w:after="0"/>
        <w:ind w:left="0"/>
        <w:jc w:val="both"/>
      </w:pPr>
      <w:r>
        <w:rPr>
          <w:rFonts w:ascii="Times New Roman"/>
          <w:b w:val="false"/>
          <w:i w:val="false"/>
          <w:color w:val="000000"/>
          <w:sz w:val="28"/>
        </w:rPr>
        <w:t xml:space="preserve">
      2.1. Документы о соответствии обязательным требованиям, установленным законодательством государства – члена Таможенного союза и Единого экономического пространства (далее – Сторона), выданные или принятые в отношении продукции, являющейся объектом технического регулирования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взрывчатых веществ и изделий на их основе" (далее соответственно – продукция, Технический регламент), до дня вступления в силу Технического регламента, действительны до окончания срока их действия, но не позднее 15 февраля 2016 года. Указанные документы, выданные или принятые до дня официального опубликования настоящего Решения действительны до окончания срока их действия.</w:t>
      </w:r>
    </w:p>
    <w:bookmarkEnd w:id="2"/>
    <w:bookmarkStart w:name="z7" w:id="3"/>
    <w:p>
      <w:pPr>
        <w:spacing w:after="0"/>
        <w:ind w:left="0"/>
        <w:jc w:val="both"/>
      </w:pPr>
      <w:r>
        <w:rPr>
          <w:rFonts w:ascii="Times New Roman"/>
          <w:b w:val="false"/>
          <w:i w:val="false"/>
          <w:color w:val="000000"/>
          <w:sz w:val="28"/>
        </w:rPr>
        <w:t>
      Со дня вступления в силу Технического регламента выдача или принятие документов о соответствии продукции обязательным требованиям, ранее установленным законодательством Стороны, не допускается.</w:t>
      </w:r>
    </w:p>
    <w:bookmarkEnd w:id="3"/>
    <w:bookmarkStart w:name="z8" w:id="4"/>
    <w:p>
      <w:pPr>
        <w:spacing w:after="0"/>
        <w:ind w:left="0"/>
        <w:jc w:val="both"/>
      </w:pPr>
      <w:r>
        <w:rPr>
          <w:rFonts w:ascii="Times New Roman"/>
          <w:b w:val="false"/>
          <w:i w:val="false"/>
          <w:color w:val="000000"/>
          <w:sz w:val="28"/>
        </w:rPr>
        <w:t>
      2.2. До 15 февраля 2016 года допускается производство и выпуск в обращение продукции в соответствии с обязательными требованиями, ранее установленными законодательством Стороны, при наличии документов о соответствии продукции указанным обязательным требованиям, выданных или принятых до дня вступления в силу Технического регламента.</w:t>
      </w:r>
    </w:p>
    <w:bookmarkEnd w:id="4"/>
    <w:bookmarkStart w:name="z9" w:id="5"/>
    <w:p>
      <w:pPr>
        <w:spacing w:after="0"/>
        <w:ind w:left="0"/>
        <w:jc w:val="both"/>
      </w:pPr>
      <w:r>
        <w:rPr>
          <w:rFonts w:ascii="Times New Roman"/>
          <w:b w:val="false"/>
          <w:i w:val="false"/>
          <w:color w:val="000000"/>
          <w:sz w:val="28"/>
        </w:rPr>
        <w:t>
      Указанная продукция маркируется национальным знаком соответствия (знаком обращения на рынке) в соответствии с законодательством государства – члена Таможенного союза.</w:t>
      </w:r>
    </w:p>
    <w:bookmarkEnd w:id="5"/>
    <w:bookmarkStart w:name="z10" w:id="6"/>
    <w:p>
      <w:pPr>
        <w:spacing w:after="0"/>
        <w:ind w:left="0"/>
        <w:jc w:val="both"/>
      </w:pPr>
      <w:r>
        <w:rPr>
          <w:rFonts w:ascii="Times New Roman"/>
          <w:b w:val="false"/>
          <w:i w:val="false"/>
          <w:color w:val="000000"/>
          <w:sz w:val="28"/>
        </w:rPr>
        <w:t>
      Маркировка такой продукции единым знаком обращения продукции на рынке государств – членов Таможенного союза не допускается.</w:t>
      </w:r>
    </w:p>
    <w:bookmarkEnd w:id="6"/>
    <w:bookmarkStart w:name="z11" w:id="7"/>
    <w:p>
      <w:pPr>
        <w:spacing w:after="0"/>
        <w:ind w:left="0"/>
        <w:jc w:val="both"/>
      </w:pPr>
      <w:r>
        <w:rPr>
          <w:rFonts w:ascii="Times New Roman"/>
          <w:b w:val="false"/>
          <w:i w:val="false"/>
          <w:color w:val="000000"/>
          <w:sz w:val="28"/>
        </w:rPr>
        <w:t>
      2.3. До 1 января 2015 года допускается производство и выпуск в обращение на таможенной территории Таможенного союза продукции, не подлежавшей до дня вступления в силу Технического регламента обязательной оценке (подтверждению) соответствия согласно законодательству Стороны, без документов об обязательной оценке (подтверждении) соответствия продукции и без маркировки национальным знаком соответствия (знаком обращения на рынке).</w:t>
      </w:r>
    </w:p>
    <w:bookmarkEnd w:id="7"/>
    <w:bookmarkStart w:name="z12" w:id="8"/>
    <w:p>
      <w:pPr>
        <w:spacing w:after="0"/>
        <w:ind w:left="0"/>
        <w:jc w:val="both"/>
      </w:pPr>
      <w:r>
        <w:rPr>
          <w:rFonts w:ascii="Times New Roman"/>
          <w:b w:val="false"/>
          <w:i w:val="false"/>
          <w:color w:val="000000"/>
          <w:sz w:val="28"/>
        </w:rPr>
        <w:t xml:space="preserve">
      2.4. Обращение продукции, выпущенной в обращение в период действия документов о соответствии, указанных в </w:t>
      </w:r>
      <w:r>
        <w:rPr>
          <w:rFonts w:ascii="Times New Roman"/>
          <w:b w:val="false"/>
          <w:i w:val="false"/>
          <w:color w:val="000000"/>
          <w:sz w:val="28"/>
        </w:rPr>
        <w:t>подпункте 2.1</w:t>
      </w:r>
      <w:r>
        <w:rPr>
          <w:rFonts w:ascii="Times New Roman"/>
          <w:b w:val="false"/>
          <w:i w:val="false"/>
          <w:color w:val="000000"/>
          <w:sz w:val="28"/>
        </w:rPr>
        <w:t xml:space="preserve"> настоящего Решения, а также продукции, указанной в </w:t>
      </w:r>
      <w:r>
        <w:rPr>
          <w:rFonts w:ascii="Times New Roman"/>
          <w:b w:val="false"/>
          <w:i w:val="false"/>
          <w:color w:val="000000"/>
          <w:sz w:val="28"/>
        </w:rPr>
        <w:t>подпункте 2.3</w:t>
      </w:r>
      <w:r>
        <w:rPr>
          <w:rFonts w:ascii="Times New Roman"/>
          <w:b w:val="false"/>
          <w:i w:val="false"/>
          <w:color w:val="000000"/>
          <w:sz w:val="28"/>
        </w:rPr>
        <w:t xml:space="preserve"> настоящего Решения, допускается в течение срока годности (срока службы) продукции, установленного в соответствии с законодательством Стороны.</w:t>
      </w:r>
    </w:p>
    <w:bookmarkEnd w:id="8"/>
    <w:bookmarkStart w:name="z13" w:id="9"/>
    <w:p>
      <w:pPr>
        <w:spacing w:after="0"/>
        <w:ind w:left="0"/>
        <w:jc w:val="both"/>
      </w:pPr>
      <w:r>
        <w:rPr>
          <w:rFonts w:ascii="Times New Roman"/>
          <w:b w:val="false"/>
          <w:i w:val="false"/>
          <w:color w:val="000000"/>
          <w:sz w:val="28"/>
        </w:rPr>
        <w:t>
      3. Члену Коллегии (Министру) по вопросам технического регулирования В.Н. Корешкову совместно с уполномоченными органами Сторон подготовить проект Плана мероприятий, необходимых для реализации Технического регламента, и в трехмесячный срок со дня вступления в силу настоящего Решения обеспечить представление его на утверждение Коллегии Евразийской экономической комиссии в установленном порядке.</w:t>
      </w:r>
    </w:p>
    <w:bookmarkEnd w:id="9"/>
    <w:bookmarkStart w:name="z14" w:id="10"/>
    <w:p>
      <w:pPr>
        <w:spacing w:after="0"/>
        <w:ind w:left="0"/>
        <w:jc w:val="both"/>
      </w:pPr>
      <w:r>
        <w:rPr>
          <w:rFonts w:ascii="Times New Roman"/>
          <w:b w:val="false"/>
          <w:i w:val="false"/>
          <w:color w:val="000000"/>
          <w:sz w:val="28"/>
        </w:rPr>
        <w:t>
      4. Правительствам Сторон:</w:t>
      </w:r>
    </w:p>
    <w:bookmarkEnd w:id="10"/>
    <w:bookmarkStart w:name="z15" w:id="11"/>
    <w:p>
      <w:pPr>
        <w:spacing w:after="0"/>
        <w:ind w:left="0"/>
        <w:jc w:val="both"/>
      </w:pPr>
      <w:r>
        <w:rPr>
          <w:rFonts w:ascii="Times New Roman"/>
          <w:b w:val="false"/>
          <w:i w:val="false"/>
          <w:color w:val="000000"/>
          <w:sz w:val="28"/>
        </w:rPr>
        <w:t>
      4.1. До дня вступления в силу Технического регламента определить органы государственного контроля (надзора), ответственные за осуществление государственного контроля (надзора) за соблюдением требований Технического регламента, и информировать об этом Коллегию Евразийской экономической комиссии.</w:t>
      </w:r>
    </w:p>
    <w:bookmarkEnd w:id="11"/>
    <w:bookmarkStart w:name="z16" w:id="12"/>
    <w:p>
      <w:pPr>
        <w:spacing w:after="0"/>
        <w:ind w:left="0"/>
        <w:jc w:val="both"/>
      </w:pPr>
      <w:r>
        <w:rPr>
          <w:rFonts w:ascii="Times New Roman"/>
          <w:b w:val="false"/>
          <w:i w:val="false"/>
          <w:color w:val="000000"/>
          <w:sz w:val="28"/>
        </w:rPr>
        <w:t xml:space="preserve">
      4.2. Со дня вступления в силу Технического регламента обеспечить проведение государственного контроля (надзора) за соблюдением требований Технического регламента с учетом </w:t>
      </w:r>
      <w:r>
        <w:rPr>
          <w:rFonts w:ascii="Times New Roman"/>
          <w:b w:val="false"/>
          <w:i w:val="false"/>
          <w:color w:val="000000"/>
          <w:sz w:val="28"/>
        </w:rPr>
        <w:t>пункта 2</w:t>
      </w:r>
      <w:r>
        <w:rPr>
          <w:rFonts w:ascii="Times New Roman"/>
          <w:b w:val="false"/>
          <w:i w:val="false"/>
          <w:color w:val="000000"/>
          <w:sz w:val="28"/>
        </w:rPr>
        <w:t xml:space="preserve"> настоящего Решения. </w:t>
      </w:r>
    </w:p>
    <w:bookmarkEnd w:id="12"/>
    <w:bookmarkStart w:name="z17" w:id="13"/>
    <w:p>
      <w:pPr>
        <w:spacing w:after="0"/>
        <w:ind w:left="0"/>
        <w:jc w:val="both"/>
      </w:pPr>
      <w:r>
        <w:rPr>
          <w:rFonts w:ascii="Times New Roman"/>
          <w:b w:val="false"/>
          <w:i w:val="false"/>
          <w:color w:val="000000"/>
          <w:sz w:val="28"/>
        </w:rPr>
        <w:t xml:space="preserve">
      5. Казахстанской Стороне с участием уполномоченных органов Сторон на основании мониторинга результатов применения стандартов обеспечить подготовку предложений по актуализации Перечней стандартов,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настоящего Решения, и их представление для рассмотрения на заседании Коллегии Евразийской экономической комиссии не реже одного раза в год со дня вступления в силу Технического регламента.</w:t>
      </w:r>
    </w:p>
    <w:bookmarkEnd w:id="13"/>
    <w:bookmarkStart w:name="z18" w:id="14"/>
    <w:p>
      <w:pPr>
        <w:spacing w:after="0"/>
        <w:ind w:left="0"/>
        <w:jc w:val="both"/>
      </w:pPr>
      <w:r>
        <w:rPr>
          <w:rFonts w:ascii="Times New Roman"/>
          <w:b w:val="false"/>
          <w:i w:val="false"/>
          <w:color w:val="000000"/>
          <w:sz w:val="28"/>
        </w:rPr>
        <w:t>
      6. Настоящее Решение вступает в силу по истечении тридцати календарных дней с даты его официального опубликования.</w:t>
      </w:r>
    </w:p>
    <w:bookmarkEnd w:id="14"/>
    <w:tbl>
      <w:tblPr>
        <w:tblW w:w="0" w:type="auto"/>
        <w:tblCellSpacing w:w="0" w:type="auto"/>
        <w:tblBorders>
          <w:top w:val="none"/>
          <w:left w:val="none"/>
          <w:bottom w:val="none"/>
          <w:right w:val="none"/>
          <w:insideH w:val="none"/>
          <w:insideV w:val="none"/>
        </w:tblBorders>
      </w:tblPr>
      <w:tblGrid>
        <w:gridCol w:w="7288"/>
        <w:gridCol w:w="5012"/>
      </w:tblGrid>
      <w:tr>
        <w:trPr>
          <w:trHeight w:val="30" w:hRule="atLeast"/>
        </w:trPr>
        <w:tc>
          <w:tcPr>
            <w:tcW w:w="72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Вр.и.о. Председателя Коллегии</w:t>
            </w:r>
          </w:p>
        </w:tc>
        <w:tc>
          <w:tcPr>
            <w:tcW w:w="5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Валовая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2 октября 2012 г. № 179</w:t>
            </w:r>
          </w:p>
        </w:tc>
      </w:tr>
    </w:tbl>
    <w:bookmarkStart w:name="z19" w:id="15"/>
    <w:p>
      <w:pPr>
        <w:spacing w:after="0"/>
        <w:ind w:left="0"/>
        <w:jc w:val="left"/>
      </w:pPr>
      <w:r>
        <w:rPr>
          <w:rFonts w:ascii="Times New Roman"/>
          <w:b/>
          <w:i w:val="false"/>
          <w:color w:val="000000"/>
        </w:rPr>
        <w:t xml:space="preserve"> Перечень стандартов, в результате применения, которых на</w:t>
      </w:r>
      <w:r>
        <w:br/>
      </w:r>
      <w:r>
        <w:rPr>
          <w:rFonts w:ascii="Times New Roman"/>
          <w:b/>
          <w:i w:val="false"/>
          <w:color w:val="000000"/>
        </w:rPr>
        <w:t>добровольной основе обеспечивается соблюдение требований</w:t>
      </w:r>
      <w:r>
        <w:br/>
      </w:r>
      <w:r>
        <w:rPr>
          <w:rFonts w:ascii="Times New Roman"/>
          <w:b/>
          <w:i w:val="false"/>
          <w:color w:val="000000"/>
        </w:rPr>
        <w:t>технического регламента Таможенного союза "О безопасности</w:t>
      </w:r>
      <w:r>
        <w:br/>
      </w:r>
      <w:r>
        <w:rPr>
          <w:rFonts w:ascii="Times New Roman"/>
          <w:b/>
          <w:i w:val="false"/>
          <w:color w:val="000000"/>
        </w:rPr>
        <w:t>взрывчатых веществ и изделий на их основе"</w:t>
      </w:r>
      <w:r>
        <w:br/>
      </w:r>
      <w:r>
        <w:rPr>
          <w:rFonts w:ascii="Times New Roman"/>
          <w:b/>
          <w:i w:val="false"/>
          <w:color w:val="000000"/>
        </w:rPr>
        <w:t>(ТР ТС 028/2012)</w:t>
      </w:r>
    </w:p>
    <w:bookmarkEnd w:id="15"/>
    <w:p>
      <w:pPr>
        <w:spacing w:after="0"/>
        <w:ind w:left="0"/>
        <w:jc w:val="both"/>
      </w:pPr>
      <w:r>
        <w:rPr>
          <w:rFonts w:ascii="Times New Roman"/>
          <w:b w:val="false"/>
          <w:i w:val="false"/>
          <w:color w:val="ff0000"/>
          <w:sz w:val="28"/>
        </w:rPr>
        <w:t xml:space="preserve">
      Сноска. Перечень утратил силу решением Коллегии Евразийской экономической комиссии от 25.12.2018 </w:t>
      </w:r>
      <w:r>
        <w:rPr>
          <w:rFonts w:ascii="Times New Roman"/>
          <w:b w:val="false"/>
          <w:i w:val="false"/>
          <w:color w:val="ff0000"/>
          <w:sz w:val="28"/>
        </w:rPr>
        <w:t>№ 218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2 октября 2012 г. № 179</w:t>
            </w:r>
          </w:p>
        </w:tc>
      </w:tr>
    </w:tbl>
    <w:bookmarkStart w:name="z20" w:id="16"/>
    <w:p>
      <w:pPr>
        <w:spacing w:after="0"/>
        <w:ind w:left="0"/>
        <w:jc w:val="left"/>
      </w:pPr>
      <w:r>
        <w:rPr>
          <w:rFonts w:ascii="Times New Roman"/>
          <w:b/>
          <w:i w:val="false"/>
          <w:color w:val="000000"/>
        </w:rPr>
        <w:t xml:space="preserve"> Перечень стандартов,</w:t>
      </w:r>
      <w:r>
        <w:br/>
      </w:r>
      <w:r>
        <w:rPr>
          <w:rFonts w:ascii="Times New Roman"/>
          <w:b/>
          <w:i w:val="false"/>
          <w:color w:val="000000"/>
        </w:rPr>
        <w:t>содержащих правила и методы исследований (испытаний) и</w:t>
      </w:r>
      <w:r>
        <w:br/>
      </w:r>
      <w:r>
        <w:rPr>
          <w:rFonts w:ascii="Times New Roman"/>
          <w:b/>
          <w:i w:val="false"/>
          <w:color w:val="000000"/>
        </w:rPr>
        <w:t>измерений, в том числе правила отбора образцов,</w:t>
      </w:r>
      <w:r>
        <w:br/>
      </w:r>
      <w:r>
        <w:rPr>
          <w:rFonts w:ascii="Times New Roman"/>
          <w:b/>
          <w:i w:val="false"/>
          <w:color w:val="000000"/>
        </w:rPr>
        <w:t>необходимые для применения и исполнения требований</w:t>
      </w:r>
      <w:r>
        <w:br/>
      </w:r>
      <w:r>
        <w:rPr>
          <w:rFonts w:ascii="Times New Roman"/>
          <w:b/>
          <w:i w:val="false"/>
          <w:color w:val="000000"/>
        </w:rPr>
        <w:t>технического регламента Таможенного союза "О безопасности</w:t>
      </w:r>
      <w:r>
        <w:br/>
      </w:r>
      <w:r>
        <w:rPr>
          <w:rFonts w:ascii="Times New Roman"/>
          <w:b/>
          <w:i w:val="false"/>
          <w:color w:val="000000"/>
        </w:rPr>
        <w:t>взрывчатых веществ и изделий на их основе"</w:t>
      </w:r>
      <w:r>
        <w:br/>
      </w:r>
      <w:r>
        <w:rPr>
          <w:rFonts w:ascii="Times New Roman"/>
          <w:b/>
          <w:i w:val="false"/>
          <w:color w:val="000000"/>
        </w:rPr>
        <w:t>(ТР ТС 028/2012) и осуществления оценки (подтверждения)</w:t>
      </w:r>
      <w:r>
        <w:br/>
      </w:r>
      <w:r>
        <w:rPr>
          <w:rFonts w:ascii="Times New Roman"/>
          <w:b/>
          <w:i w:val="false"/>
          <w:color w:val="000000"/>
        </w:rPr>
        <w:t>соответствия продукции</w:t>
      </w:r>
    </w:p>
    <w:bookmarkEnd w:id="16"/>
    <w:p>
      <w:pPr>
        <w:spacing w:after="0"/>
        <w:ind w:left="0"/>
        <w:jc w:val="both"/>
      </w:pPr>
      <w:r>
        <w:rPr>
          <w:rFonts w:ascii="Times New Roman"/>
          <w:b w:val="false"/>
          <w:i w:val="false"/>
          <w:color w:val="ff0000"/>
          <w:sz w:val="28"/>
        </w:rPr>
        <w:t xml:space="preserve">
      Сноска. Перечень утратил силу решением Коллегии Евразийской экономической комиссии от 25.12.2018 </w:t>
      </w:r>
      <w:r>
        <w:rPr>
          <w:rFonts w:ascii="Times New Roman"/>
          <w:b w:val="false"/>
          <w:i w:val="false"/>
          <w:color w:val="ff0000"/>
          <w:sz w:val="28"/>
        </w:rPr>
        <w:t>№ 218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