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97290" w14:textId="f5972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мерах по защите экономических интересов производителей нержавеющих труб в Таможенном союзе</w:t>
      </w:r>
    </w:p>
    <w:p>
      <w:pPr>
        <w:spacing w:after="0"/>
        <w:ind w:left="0"/>
        <w:jc w:val="both"/>
      </w:pPr>
      <w:r>
        <w:rPr>
          <w:rFonts w:ascii="Times New Roman"/>
          <w:b w:val="false"/>
          <w:i w:val="false"/>
          <w:color w:val="000000"/>
          <w:sz w:val="28"/>
        </w:rPr>
        <w:t>Решение Коллегии Евразийской экономической комиссии от 23 августа 2012 года № 143</w:t>
      </w:r>
    </w:p>
    <w:p>
      <w:pPr>
        <w:spacing w:after="0"/>
        <w:ind w:left="0"/>
        <w:jc w:val="both"/>
      </w:pPr>
      <w:bookmarkStart w:name="z1" w:id="0"/>
      <w:r>
        <w:rPr>
          <w:rFonts w:ascii="Times New Roman"/>
          <w:b w:val="false"/>
          <w:i w:val="false"/>
          <w:color w:val="000000"/>
          <w:sz w:val="28"/>
        </w:rPr>
        <w:t xml:space="preserve">
      Коллегия Евразийской экономической комиссии </w:t>
      </w:r>
      <w:r>
        <w:rPr>
          <w:rFonts w:ascii="Times New Roman"/>
          <w:b/>
          <w:i w:val="false"/>
          <w:color w:val="000000"/>
          <w:sz w:val="28"/>
        </w:rPr>
        <w:t>решила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Установить сроком по 1 ноября 2014 г. включительно импортную квоту в объемах согласно </w:t>
      </w:r>
      <w:r>
        <w:rPr>
          <w:rFonts w:ascii="Times New Roman"/>
          <w:b w:val="false"/>
          <w:i w:val="false"/>
          <w:color w:val="000000"/>
          <w:sz w:val="28"/>
        </w:rPr>
        <w:t>приложению № 1</w:t>
      </w:r>
      <w:r>
        <w:rPr>
          <w:rFonts w:ascii="Times New Roman"/>
          <w:b w:val="false"/>
          <w:i w:val="false"/>
          <w:color w:val="000000"/>
          <w:sz w:val="28"/>
        </w:rPr>
        <w:t xml:space="preserve"> в отношении помещаемых под таможенные процедуры выпуска для внутреннего потребления и переработки для внутреннего потребления труб из коррозионно-стойкой стали наружным диаметром до 426 мм включительно, классифицируемых кодами 7304 11 000 1, 7304 11 000 2, 7304 11 000 3, 7304 11 000 4, 7304 11 000 8,7304 41 000 9,7304 49 100 0, 7304 49 930 9, 7304 49 950 9, 7304 49 990 0,7306 11 100 0, 7306 11 900 0, 7306 40 200 1, 7306 40 200 9, 7306 40 800 2,7306 40 800 8 ТН ВЭД ТС.</w:t>
      </w:r>
      <w:r>
        <w:br/>
      </w:r>
      <w:r>
        <w:rPr>
          <w:rFonts w:ascii="Times New Roman"/>
          <w:b w:val="false"/>
          <w:i w:val="false"/>
          <w:color w:val="000000"/>
          <w:sz w:val="28"/>
        </w:rPr>
        <w:t>
      Для целей применения указанной импортной квоты товар определяется как кодами ТН ВЭД ТС, так и наименованием товара.</w:t>
      </w:r>
      <w:r>
        <w:br/>
      </w:r>
      <w:r>
        <w:rPr>
          <w:rFonts w:ascii="Times New Roman"/>
          <w:b w:val="false"/>
          <w:i w:val="false"/>
          <w:color w:val="000000"/>
          <w:sz w:val="28"/>
        </w:rPr>
        <w:t xml:space="preserve">
      Действие импортной квоты не распространяется на разновидности труб из коррозионно-стойкой стали по перечню согласно </w:t>
      </w:r>
      <w:r>
        <w:br/>
      </w:r>
      <w:r>
        <w:rPr>
          <w:rFonts w:ascii="Times New Roman"/>
          <w:b w:val="false"/>
          <w:i w:val="false"/>
          <w:color w:val="000000"/>
          <w:sz w:val="28"/>
        </w:rPr>
        <w:t>
</w:t>
      </w:r>
      <w:r>
        <w:rPr>
          <w:rFonts w:ascii="Times New Roman"/>
          <w:b w:val="false"/>
          <w:i w:val="false"/>
          <w:color w:val="000000"/>
          <w:sz w:val="28"/>
        </w:rPr>
        <w:t>приложению №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Сноска. Пункт 1 в редакции решения Коллегии Евразийской экономической комиссии от 26.11.2013 </w:t>
      </w:r>
      <w:r>
        <w:rPr>
          <w:rFonts w:ascii="Times New Roman"/>
          <w:b w:val="false"/>
          <w:i w:val="false"/>
          <w:color w:val="000000"/>
          <w:sz w:val="28"/>
        </w:rPr>
        <w:t>№ 268</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 Действие импортной квоты, установленной настоящим Решением, не распространяется на трубы из коррозионно-стойкой стали, указанные в пункте 1 настоящего Решения и происходящие из развивающихся стран – пользователей системы тарифных преференций Таможенного союза, за исключением Федеративной Республики Бразилия, Китайской Народной Республики и Республики Малайзия.</w:t>
      </w:r>
      <w:r>
        <w:br/>
      </w:r>
      <w:r>
        <w:rPr>
          <w:rFonts w:ascii="Times New Roman"/>
          <w:b w:val="false"/>
          <w:i w:val="false"/>
          <w:color w:val="000000"/>
          <w:sz w:val="28"/>
        </w:rPr>
        <w:t>
      </w:t>
      </w:r>
      <w:r>
        <w:rPr>
          <w:rFonts w:ascii="Times New Roman"/>
          <w:b w:val="false"/>
          <w:i w:val="false"/>
          <w:color w:val="ff0000"/>
          <w:sz w:val="28"/>
        </w:rPr>
        <w:t xml:space="preserve">Сноска. Пункт 2 в редакции решения Коллегии Евразийской экономической комиссии от 26.11.2013 </w:t>
      </w:r>
      <w:r>
        <w:rPr>
          <w:rFonts w:ascii="Times New Roman"/>
          <w:b w:val="false"/>
          <w:i w:val="false"/>
          <w:color w:val="000000"/>
          <w:sz w:val="28"/>
        </w:rPr>
        <w:t>№ 268</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 Просить Стороны:</w:t>
      </w:r>
      <w:r>
        <w:br/>
      </w:r>
      <w:r>
        <w:rPr>
          <w:rFonts w:ascii="Times New Roman"/>
          <w:b w:val="false"/>
          <w:i w:val="false"/>
          <w:color w:val="000000"/>
          <w:sz w:val="28"/>
        </w:rPr>
        <w:t>
</w:t>
      </w:r>
      <w:r>
        <w:rPr>
          <w:rFonts w:ascii="Times New Roman"/>
          <w:b w:val="false"/>
          <w:i w:val="false"/>
          <w:color w:val="000000"/>
          <w:sz w:val="28"/>
        </w:rPr>
        <w:t>
      осуществлять в 2012 – 2014 годах распределение объемов импортной квоты между участниками внешнеторговой деятельности в соответствии с национальным законодательством;</w:t>
      </w:r>
      <w:r>
        <w:br/>
      </w:r>
      <w:r>
        <w:rPr>
          <w:rFonts w:ascii="Times New Roman"/>
          <w:b w:val="false"/>
          <w:i w:val="false"/>
          <w:color w:val="000000"/>
          <w:sz w:val="28"/>
        </w:rPr>
        <w:t>
</w:t>
      </w:r>
      <w:r>
        <w:rPr>
          <w:rFonts w:ascii="Times New Roman"/>
          <w:b w:val="false"/>
          <w:i w:val="false"/>
          <w:color w:val="000000"/>
          <w:sz w:val="28"/>
        </w:rPr>
        <w:t>
      поручить уполномоченным органам государственной власти осуществлять выдачу лицензий на импорт товара, указанного в </w:t>
      </w:r>
      <w:r>
        <w:rPr>
          <w:rFonts w:ascii="Times New Roman"/>
          <w:b w:val="false"/>
          <w:i w:val="false"/>
          <w:color w:val="000000"/>
          <w:sz w:val="28"/>
        </w:rPr>
        <w:t>пункте 1</w:t>
      </w:r>
      <w:r>
        <w:rPr>
          <w:rFonts w:ascii="Times New Roman"/>
          <w:b w:val="false"/>
          <w:i w:val="false"/>
          <w:color w:val="000000"/>
          <w:sz w:val="28"/>
        </w:rPr>
        <w:t xml:space="preserve"> настоящего Решения;</w:t>
      </w:r>
      <w:r>
        <w:br/>
      </w:r>
      <w:r>
        <w:rPr>
          <w:rFonts w:ascii="Times New Roman"/>
          <w:b w:val="false"/>
          <w:i w:val="false"/>
          <w:color w:val="000000"/>
          <w:sz w:val="28"/>
        </w:rPr>
        <w:t>
</w:t>
      </w:r>
      <w:r>
        <w:rPr>
          <w:rFonts w:ascii="Times New Roman"/>
          <w:b w:val="false"/>
          <w:i w:val="false"/>
          <w:color w:val="000000"/>
          <w:sz w:val="28"/>
        </w:rPr>
        <w:t>
      перераспределить объемы импортной квоты на 2014 год между участниками внешнеторговой деятельности не позднее 27 декабря 2013 г. (за исключением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Пункт 3 с изменением, внесенным решением Коллегии Евразийской экономической комиссии от 26.11.2013 </w:t>
      </w:r>
      <w:r>
        <w:rPr>
          <w:rFonts w:ascii="Times New Roman"/>
          <w:b w:val="false"/>
          <w:i w:val="false"/>
          <w:color w:val="000000"/>
          <w:sz w:val="28"/>
        </w:rPr>
        <w:t>№ 268</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22 июня 2011 года № 706.</w:t>
      </w:r>
      <w:r>
        <w:br/>
      </w:r>
      <w:r>
        <w:rPr>
          <w:rFonts w:ascii="Times New Roman"/>
          <w:b w:val="false"/>
          <w:i w:val="false"/>
          <w:color w:val="000000"/>
          <w:sz w:val="28"/>
        </w:rPr>
        <w:t>
</w:t>
      </w:r>
      <w:r>
        <w:rPr>
          <w:rFonts w:ascii="Times New Roman"/>
          <w:b w:val="false"/>
          <w:i w:val="false"/>
          <w:color w:val="000000"/>
          <w:sz w:val="28"/>
        </w:rPr>
        <w:t>
      5. Настоящее Решение вступает в силу по истечении тридцати календарных дней с даты его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Председатель                               В.Б. Христенко</w:t>
      </w:r>
    </w:p>
    <w:bookmarkStart w:name="z10" w:id="1"/>
    <w:p>
      <w:pPr>
        <w:spacing w:after="0"/>
        <w:ind w:left="0"/>
        <w:jc w:val="both"/>
      </w:pPr>
      <w:r>
        <w:rPr>
          <w:rFonts w:ascii="Times New Roman"/>
          <w:b w:val="false"/>
          <w:i w:val="false"/>
          <w:color w:val="000000"/>
          <w:sz w:val="28"/>
        </w:rPr>
        <w:t xml:space="preserve">
ПРИЛОЖЕНИЕ № 1           </w:t>
      </w:r>
      <w:r>
        <w:br/>
      </w:r>
      <w:r>
        <w:rPr>
          <w:rFonts w:ascii="Times New Roman"/>
          <w:b w:val="false"/>
          <w:i w:val="false"/>
          <w:color w:val="000000"/>
          <w:sz w:val="28"/>
        </w:rPr>
        <w:t xml:space="preserve">
к Решению Коллегии         </w:t>
      </w:r>
      <w:r>
        <w:br/>
      </w:r>
      <w:r>
        <w:rPr>
          <w:rFonts w:ascii="Times New Roman"/>
          <w:b w:val="false"/>
          <w:i w:val="false"/>
          <w:color w:val="000000"/>
          <w:sz w:val="28"/>
        </w:rPr>
        <w:t>
Евразийской экономической комиссии</w:t>
      </w:r>
      <w:r>
        <w:br/>
      </w:r>
      <w:r>
        <w:rPr>
          <w:rFonts w:ascii="Times New Roman"/>
          <w:b w:val="false"/>
          <w:i w:val="false"/>
          <w:color w:val="000000"/>
          <w:sz w:val="28"/>
        </w:rPr>
        <w:t xml:space="preserve">
от 23 августа 2012 года № 143  </w:t>
      </w:r>
    </w:p>
    <w:bookmarkEnd w:id="1"/>
    <w:p>
      <w:pPr>
        <w:spacing w:after="0"/>
        <w:ind w:left="0"/>
        <w:jc w:val="both"/>
      </w:pPr>
      <w:r>
        <w:rPr>
          <w:rFonts w:ascii="Times New Roman"/>
          <w:b/>
          <w:i w:val="false"/>
          <w:color w:val="000000"/>
          <w:sz w:val="28"/>
        </w:rPr>
        <w:t>                               РАСПРЕДЕЛЕНИЕ</w:t>
      </w:r>
      <w:r>
        <w:br/>
      </w:r>
      <w:r>
        <w:rPr>
          <w:rFonts w:ascii="Times New Roman"/>
          <w:b w:val="false"/>
          <w:i w:val="false"/>
          <w:color w:val="000000"/>
          <w:sz w:val="28"/>
        </w:rPr>
        <w:t>
     </w:t>
      </w:r>
      <w:r>
        <w:rPr>
          <w:rFonts w:ascii="Times New Roman"/>
          <w:b/>
          <w:i w:val="false"/>
          <w:color w:val="000000"/>
          <w:sz w:val="28"/>
        </w:rPr>
        <w:t>объемов импортной квоты на ввоз труб из коррозионно-стойкой</w:t>
      </w:r>
      <w:r>
        <w:br/>
      </w:r>
      <w:r>
        <w:rPr>
          <w:rFonts w:ascii="Times New Roman"/>
          <w:b w:val="false"/>
          <w:i w:val="false"/>
          <w:color w:val="000000"/>
          <w:sz w:val="28"/>
        </w:rPr>
        <w:t>
           </w:t>
      </w:r>
      <w:r>
        <w:rPr>
          <w:rFonts w:ascii="Times New Roman"/>
          <w:b/>
          <w:i w:val="false"/>
          <w:color w:val="000000"/>
          <w:sz w:val="28"/>
        </w:rPr>
        <w:t xml:space="preserve">стали наружным диаметром до 426 мм включительно </w:t>
      </w:r>
      <w:r>
        <w:rPr>
          <w:rFonts w:ascii="Times New Roman"/>
          <w:b/>
          <w:i w:val="false"/>
          <w:color w:val="000000"/>
          <w:sz w:val="28"/>
        </w:rPr>
        <w:t>в 2012 – 2014 годах</w:t>
      </w:r>
    </w:p>
    <w:p>
      <w:pPr>
        <w:spacing w:after="0"/>
        <w:ind w:left="0"/>
        <w:jc w:val="both"/>
      </w:pPr>
      <w:r>
        <w:rPr>
          <w:rFonts w:ascii="Times New Roman"/>
          <w:b w:val="false"/>
          <w:i w:val="false"/>
          <w:color w:val="ff0000"/>
          <w:sz w:val="28"/>
        </w:rPr>
        <w:t xml:space="preserve">      Сноска. Решение дополнено приложением 1 в соответствии с решением Коллегии Евразийской экономической комиссии от 26.11.2013 </w:t>
      </w:r>
      <w:r>
        <w:rPr>
          <w:rFonts w:ascii="Times New Roman"/>
          <w:b w:val="false"/>
          <w:i w:val="false"/>
          <w:color w:val="ff0000"/>
          <w:sz w:val="28"/>
        </w:rPr>
        <w:t>№ 268</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5"/>
        <w:gridCol w:w="1172"/>
        <w:gridCol w:w="905"/>
        <w:gridCol w:w="1122"/>
        <w:gridCol w:w="1324"/>
        <w:gridCol w:w="1325"/>
        <w:gridCol w:w="1325"/>
        <w:gridCol w:w="1344"/>
        <w:gridCol w:w="906"/>
        <w:gridCol w:w="1102"/>
      </w:tblGrid>
      <w:tr>
        <w:trPr>
          <w:trHeight w:val="30" w:hRule="atLeast"/>
        </w:trPr>
        <w:tc>
          <w:tcPr>
            <w:tcW w:w="2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Государство</w:t>
            </w:r>
            <w:r>
              <w:br/>
            </w:r>
            <w:r>
              <w:rPr>
                <w:rFonts w:ascii="Times New Roman"/>
                <w:b w:val="false"/>
                <w:i w:val="false"/>
                <w:color w:val="000000"/>
                <w:sz w:val="20"/>
              </w:rPr>
              <w:t>
</w:t>
            </w:r>
            <w:r>
              <w:rPr>
                <w:rFonts w:ascii="Times New Roman"/>
                <w:b w:val="false"/>
                <w:i w:val="false"/>
                <w:color w:val="000000"/>
                <w:sz w:val="20"/>
              </w:rPr>
              <w:t>(союз</w:t>
            </w:r>
            <w:r>
              <w:br/>
            </w:r>
            <w:r>
              <w:rPr>
                <w:rFonts w:ascii="Times New Roman"/>
                <w:b w:val="false"/>
                <w:i w:val="false"/>
                <w:color w:val="000000"/>
                <w:sz w:val="20"/>
              </w:rPr>
              <w:t>
</w:t>
            </w:r>
            <w:r>
              <w:rPr>
                <w:rFonts w:ascii="Times New Roman"/>
                <w:b w:val="false"/>
                <w:i w:val="false"/>
                <w:color w:val="000000"/>
                <w:sz w:val="20"/>
              </w:rPr>
              <w:t>государств)</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годовой импортной квоты (тонн)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Беларусь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Российская Федерация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r>
      <w:tr>
        <w:trPr>
          <w:trHeight w:val="30" w:hRule="atLeast"/>
        </w:trPr>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Европейский союз</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 365 х N</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r>
              <w:br/>
            </w:r>
            <w:r>
              <w:rPr>
                <w:rFonts w:ascii="Times New Roman"/>
                <w:b w:val="false"/>
                <w:i w:val="false"/>
                <w:color w:val="000000"/>
                <w:sz w:val="20"/>
              </w:rPr>
              <w:t>
</w:t>
            </w:r>
            <w:r>
              <w:rPr>
                <w:rFonts w:ascii="Times New Roman"/>
                <w:b w:val="false"/>
                <w:i w:val="false"/>
                <w:color w:val="000000"/>
                <w:sz w:val="20"/>
              </w:rPr>
              <w:t>365 х N</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8622/</w:t>
            </w:r>
            <w:r>
              <w:br/>
            </w:r>
            <w:r>
              <w:rPr>
                <w:rFonts w:ascii="Times New Roman"/>
                <w:b w:val="false"/>
                <w:i w:val="false"/>
                <w:color w:val="000000"/>
                <w:sz w:val="20"/>
              </w:rPr>
              <w:t>
</w:t>
            </w:r>
            <w:r>
              <w:rPr>
                <w:rFonts w:ascii="Times New Roman"/>
                <w:b w:val="false"/>
                <w:i w:val="false"/>
                <w:color w:val="000000"/>
                <w:sz w:val="20"/>
              </w:rPr>
              <w:t>365 х N</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7205</w:t>
            </w:r>
          </w:p>
        </w:tc>
      </w:tr>
      <w:tr>
        <w:trPr>
          <w:trHeight w:val="30" w:hRule="atLeast"/>
        </w:trPr>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Украина</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365 х N</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r>
              <w:br/>
            </w:r>
            <w:r>
              <w:rPr>
                <w:rFonts w:ascii="Times New Roman"/>
                <w:b w:val="false"/>
                <w:i w:val="false"/>
                <w:color w:val="000000"/>
                <w:sz w:val="20"/>
              </w:rPr>
              <w:t>
</w:t>
            </w:r>
            <w:r>
              <w:rPr>
                <w:rFonts w:ascii="Times New Roman"/>
                <w:b w:val="false"/>
                <w:i w:val="false"/>
                <w:color w:val="000000"/>
                <w:sz w:val="20"/>
              </w:rPr>
              <w:t>365 х N</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5402/</w:t>
            </w:r>
            <w:r>
              <w:br/>
            </w:r>
            <w:r>
              <w:rPr>
                <w:rFonts w:ascii="Times New Roman"/>
                <w:b w:val="false"/>
                <w:i w:val="false"/>
                <w:color w:val="000000"/>
                <w:sz w:val="20"/>
              </w:rPr>
              <w:t>
</w:t>
            </w:r>
            <w:r>
              <w:rPr>
                <w:rFonts w:ascii="Times New Roman"/>
                <w:b w:val="false"/>
                <w:i w:val="false"/>
                <w:color w:val="000000"/>
                <w:sz w:val="20"/>
              </w:rPr>
              <w:t>365 х N</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4514</w:t>
            </w:r>
          </w:p>
        </w:tc>
      </w:tr>
      <w:tr>
        <w:trPr>
          <w:trHeight w:val="30" w:hRule="atLeast"/>
        </w:trPr>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Китайская Народная Республика</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365 х N</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r>
              <w:br/>
            </w:r>
            <w:r>
              <w:rPr>
                <w:rFonts w:ascii="Times New Roman"/>
                <w:b w:val="false"/>
                <w:i w:val="false"/>
                <w:color w:val="000000"/>
                <w:sz w:val="20"/>
              </w:rPr>
              <w:t>
</w:t>
            </w:r>
            <w:r>
              <w:rPr>
                <w:rFonts w:ascii="Times New Roman"/>
                <w:b w:val="false"/>
                <w:i w:val="false"/>
                <w:color w:val="000000"/>
                <w:sz w:val="20"/>
              </w:rPr>
              <w:t>365 х N</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7369/ 365 х N</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4787</w:t>
            </w:r>
          </w:p>
        </w:tc>
      </w:tr>
      <w:tr>
        <w:trPr>
          <w:trHeight w:val="30" w:hRule="atLeast"/>
        </w:trPr>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государства</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r>
              <w:br/>
            </w:r>
            <w:r>
              <w:rPr>
                <w:rFonts w:ascii="Times New Roman"/>
                <w:b w:val="false"/>
                <w:i w:val="false"/>
                <w:color w:val="000000"/>
                <w:sz w:val="20"/>
              </w:rPr>
              <w:t>
</w:t>
            </w:r>
            <w:r>
              <w:rPr>
                <w:rFonts w:ascii="Times New Roman"/>
                <w:b w:val="false"/>
                <w:i w:val="false"/>
                <w:color w:val="000000"/>
                <w:sz w:val="20"/>
              </w:rPr>
              <w:t>365 х N</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r>
              <w:br/>
            </w:r>
            <w:r>
              <w:rPr>
                <w:rFonts w:ascii="Times New Roman"/>
                <w:b w:val="false"/>
                <w:i w:val="false"/>
                <w:color w:val="000000"/>
                <w:sz w:val="20"/>
              </w:rPr>
              <w:t>
</w:t>
            </w:r>
            <w:r>
              <w:rPr>
                <w:rFonts w:ascii="Times New Roman"/>
                <w:b w:val="false"/>
                <w:i w:val="false"/>
                <w:color w:val="000000"/>
                <w:sz w:val="20"/>
              </w:rPr>
              <w:t>365 х N</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 365 х N</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3294</w:t>
            </w:r>
          </w:p>
        </w:tc>
      </w:tr>
    </w:tbl>
    <w:p>
      <w:pPr>
        <w:spacing w:after="0"/>
        <w:ind w:left="0"/>
        <w:jc w:val="both"/>
      </w:pPr>
      <w:r>
        <w:rPr>
          <w:rFonts w:ascii="Times New Roman"/>
          <w:b w:val="false"/>
          <w:i w:val="false"/>
          <w:color w:val="000000"/>
          <w:sz w:val="28"/>
        </w:rPr>
        <w:t>________________</w:t>
      </w:r>
    </w:p>
    <w:p>
      <w:pPr>
        <w:spacing w:after="0"/>
        <w:ind w:left="0"/>
        <w:jc w:val="both"/>
      </w:pPr>
      <w:r>
        <w:rPr>
          <w:rFonts w:ascii="Times New Roman"/>
          <w:b w:val="false"/>
          <w:i w:val="false"/>
          <w:color w:val="000000"/>
          <w:sz w:val="28"/>
        </w:rPr>
        <w:t xml:space="preserve">* Объем импортной квоты на 2012 год рассчитывается по формуле: </w:t>
      </w:r>
      <w:r>
        <w:br/>
      </w:r>
      <w:r>
        <w:rPr>
          <w:rFonts w:ascii="Times New Roman"/>
          <w:b w:val="false"/>
          <w:i w:val="false"/>
          <w:color w:val="000000"/>
          <w:sz w:val="28"/>
        </w:rPr>
        <w:t>
(объем годовой импортной квоты / 365 дней) х N, где N – количество дней с даты вступления в силу настоящего Решения по 31 декабря 2012 г.</w:t>
      </w:r>
      <w:r>
        <w:br/>
      </w:r>
      <w:r>
        <w:rPr>
          <w:rFonts w:ascii="Times New Roman"/>
          <w:b w:val="false"/>
          <w:i w:val="false"/>
          <w:color w:val="000000"/>
          <w:sz w:val="28"/>
        </w:rPr>
        <w:t>
** С учетом срока действия меры по 1 ноября 2014 г. включительно.</w:t>
      </w:r>
      <w:r>
        <w:br/>
      </w:r>
      <w:r>
        <w:rPr>
          <w:rFonts w:ascii="Times New Roman"/>
          <w:b w:val="false"/>
          <w:i w:val="false"/>
          <w:color w:val="000000"/>
          <w:sz w:val="28"/>
        </w:rPr>
        <w:t>
*** В случае если по истечении второго квартала соответствующего календарного года объем импортной квоты, предусмотренный настоящим приложением для Европейского союза, Украины или Китайской Народной Республики, будет исчерпан соответствующим экспортирующим государством (союзом государств), выдача лицензий участникам внешнеторговой деятельности сверх предусмотренного объема импортной квоты для этого государства (союза государств) может быть осуществлена Республикой Казахстан за счет объема импортной квоты, предусмотренного для прочих государств (при наличии соответствующего объема).</w:t>
      </w:r>
    </w:p>
    <w:bookmarkStart w:name="z11" w:id="2"/>
    <w:p>
      <w:pPr>
        <w:spacing w:after="0"/>
        <w:ind w:left="0"/>
        <w:jc w:val="both"/>
      </w:pPr>
      <w:r>
        <w:rPr>
          <w:rFonts w:ascii="Times New Roman"/>
          <w:b w:val="false"/>
          <w:i w:val="false"/>
          <w:color w:val="000000"/>
          <w:sz w:val="28"/>
        </w:rPr>
        <w:t xml:space="preserve">
ПРИЛОЖЕНИЕ № 2          </w:t>
      </w:r>
      <w:r>
        <w:br/>
      </w:r>
      <w:r>
        <w:rPr>
          <w:rFonts w:ascii="Times New Roman"/>
          <w:b w:val="false"/>
          <w:i w:val="false"/>
          <w:color w:val="000000"/>
          <w:sz w:val="28"/>
        </w:rPr>
        <w:t xml:space="preserve">
к Решению Коллегии        </w:t>
      </w:r>
      <w:r>
        <w:br/>
      </w:r>
      <w:r>
        <w:rPr>
          <w:rFonts w:ascii="Times New Roman"/>
          <w:b w:val="false"/>
          <w:i w:val="false"/>
          <w:color w:val="000000"/>
          <w:sz w:val="28"/>
        </w:rPr>
        <w:t>
Евразийской экономической комиссии</w:t>
      </w:r>
      <w:r>
        <w:br/>
      </w:r>
      <w:r>
        <w:rPr>
          <w:rFonts w:ascii="Times New Roman"/>
          <w:b w:val="false"/>
          <w:i w:val="false"/>
          <w:color w:val="000000"/>
          <w:sz w:val="28"/>
        </w:rPr>
        <w:t xml:space="preserve">
от 23 августа 2012 года № 143   </w:t>
      </w:r>
    </w:p>
    <w:bookmarkEnd w:id="2"/>
    <w:p>
      <w:pPr>
        <w:spacing w:after="0"/>
        <w:ind w:left="0"/>
        <w:jc w:val="left"/>
      </w:pPr>
      <w:r>
        <w:rPr>
          <w:rFonts w:ascii="Times New Roman"/>
          <w:b/>
          <w:i w:val="false"/>
          <w:color w:val="000000"/>
        </w:rPr>
        <w:t xml:space="preserve"> ПЕРЕЧЕНЬ</w:t>
      </w:r>
      <w:r>
        <w:br/>
      </w:r>
      <w:r>
        <w:rPr>
          <w:rFonts w:ascii="Times New Roman"/>
          <w:b/>
          <w:i w:val="false"/>
          <w:color w:val="000000"/>
        </w:rPr>
        <w:t>
разновидностей труб из коррозионно-стойкой стали, на которые</w:t>
      </w:r>
      <w:r>
        <w:br/>
      </w:r>
      <w:r>
        <w:rPr>
          <w:rFonts w:ascii="Times New Roman"/>
          <w:b/>
          <w:i w:val="false"/>
          <w:color w:val="000000"/>
        </w:rPr>
        <w:t>
не распространяется действие импортной квоты</w:t>
      </w:r>
    </w:p>
    <w:p>
      <w:pPr>
        <w:spacing w:after="0"/>
        <w:ind w:left="0"/>
        <w:jc w:val="both"/>
      </w:pPr>
      <w:r>
        <w:rPr>
          <w:rFonts w:ascii="Times New Roman"/>
          <w:b w:val="false"/>
          <w:i w:val="false"/>
          <w:color w:val="ff0000"/>
          <w:sz w:val="28"/>
        </w:rPr>
        <w:t xml:space="preserve">      Сноска. Решение дополнено приложением 2 в соответствии с решением Коллегии Евразийской экономической комиссии от 26.11.2013 </w:t>
      </w:r>
      <w:r>
        <w:rPr>
          <w:rFonts w:ascii="Times New Roman"/>
          <w:b w:val="false"/>
          <w:i w:val="false"/>
          <w:color w:val="ff0000"/>
          <w:sz w:val="28"/>
        </w:rPr>
        <w:t>№ 268</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p>
    <w:p>
      <w:pPr>
        <w:spacing w:after="0"/>
        <w:ind w:left="0"/>
        <w:jc w:val="both"/>
      </w:pPr>
      <w:r>
        <w:rPr>
          <w:rFonts w:ascii="Times New Roman"/>
          <w:b w:val="false"/>
          <w:i w:val="false"/>
          <w:color w:val="000000"/>
          <w:sz w:val="28"/>
        </w:rPr>
        <w:t>      1. Трубы, произведенные из марки стали 1.4404 по EN 10088-1 (AISI 316L по ASTM),наружным диаметром до 15 мм включительно.</w:t>
      </w:r>
      <w:r>
        <w:br/>
      </w:r>
      <w:r>
        <w:rPr>
          <w:rFonts w:ascii="Times New Roman"/>
          <w:b w:val="false"/>
          <w:i w:val="false"/>
          <w:color w:val="000000"/>
          <w:sz w:val="28"/>
        </w:rPr>
        <w:t>
      2. Трубы, произведенные из марки стали 1.4436 по EN 10088-1 (AISI 316 по ASTM),наружным диаметром до 15 мм включительно.</w:t>
      </w:r>
      <w:r>
        <w:br/>
      </w:r>
      <w:r>
        <w:rPr>
          <w:rFonts w:ascii="Times New Roman"/>
          <w:b w:val="false"/>
          <w:i w:val="false"/>
          <w:color w:val="000000"/>
          <w:sz w:val="28"/>
        </w:rPr>
        <w:t>
      3. Трубы, произведенные из марки стали 1.4571 по EN 10088-1 (AISI 316Ti по ASTM),наружным диаметром до 15 мм включительно.</w:t>
      </w:r>
      <w:r>
        <w:br/>
      </w:r>
      <w:r>
        <w:rPr>
          <w:rFonts w:ascii="Times New Roman"/>
          <w:b w:val="false"/>
          <w:i w:val="false"/>
          <w:color w:val="000000"/>
          <w:sz w:val="28"/>
        </w:rPr>
        <w:t>
      4. Трубы, произведенные из марки стали 1.4301 EN 10088-1 (AISI 304 по ASTM),наружным диаметром до 15 мм включительно и внутренним диаметром до 3 мм включительно, сертифицированные для использования в гидравлических системах высокого давления до 4500 атм включительно.</w:t>
      </w:r>
      <w:r>
        <w:br/>
      </w:r>
      <w:r>
        <w:rPr>
          <w:rFonts w:ascii="Times New Roman"/>
          <w:b w:val="false"/>
          <w:i w:val="false"/>
          <w:color w:val="000000"/>
          <w:sz w:val="28"/>
        </w:rPr>
        <w:t>
      5. Трубы, произведенные из марки стали 1.4306 по EN 10088-1 (AISI 304L по ASTM),наружным диаметром до 15 мм включительно и внутренним диаметром до 3 мм включительно, сертифицированные для использования в гидравлических системах высокого давления до 4500 атм включительно.</w:t>
      </w:r>
      <w:r>
        <w:br/>
      </w:r>
      <w:r>
        <w:rPr>
          <w:rFonts w:ascii="Times New Roman"/>
          <w:b w:val="false"/>
          <w:i w:val="false"/>
          <w:color w:val="000000"/>
          <w:sz w:val="28"/>
        </w:rPr>
        <w:t>
      6. Трубы, произведенные из марки стали 1.4541 по EN 10088-1 (AISI 321 по ASTM), наружным диаметром до 15 мм включительно, длиной до 350 мм включительно.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