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b1be2" w14:textId="22b1b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Положении о порядке осуществления мониторинга и проведения сравнительно-правового анализа национального законодательства государств – членов Таможенного союза и Единого экономического пространства на предмет соответствия Соглашению о единых правилах предоставления промышленных субсидий от 9 декабря 2010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16 августа 2012 года № 132. Утратил силу решением Коллегии Евразийской экономической комиссии от 14 ноября 2017 года № 155.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решением Коллегии Евразийской экономической комиссии от 14.11.2017 </w:t>
      </w:r>
      <w:r>
        <w:rPr>
          <w:rFonts w:ascii="Times New Roman"/>
          <w:b w:val="false"/>
          <w:i w:val="false"/>
          <w:color w:val="ff0000"/>
          <w:sz w:val="28"/>
        </w:rPr>
        <w:t>№ 155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п.3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порядке осуществления мониторинга и проведения сравнительно-правового анализа национального законодательства государств – членов Таможенного союза и Единого экономического пространства на предмет соответствия </w:t>
      </w:r>
      <w:r>
        <w:rPr>
          <w:rFonts w:ascii="Times New Roman"/>
          <w:b w:val="false"/>
          <w:i w:val="false"/>
          <w:color w:val="000000"/>
          <w:sz w:val="28"/>
        </w:rPr>
        <w:t>Соглашению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единых правилах предоставления промышленных субсидий от 9 декабря 2010 года (прилагается).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30 календарных дней с даты его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972"/>
        <w:gridCol w:w="9328"/>
      </w:tblGrid>
      <w:tr>
        <w:trPr>
          <w:trHeight w:val="30" w:hRule="atLeast"/>
        </w:trPr>
        <w:tc>
          <w:tcPr>
            <w:tcW w:w="29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</w:t>
            </w:r>
          </w:p>
        </w:tc>
        <w:tc>
          <w:tcPr>
            <w:tcW w:w="93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В.Б. Христенко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августа 2012 г. № 132</w:t>
            </w:r>
          </w:p>
        </w:tc>
      </w:tr>
    </w:tbl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порядке осуществления мониторинга и проведения</w:t>
      </w:r>
      <w:r>
        <w:br/>
      </w:r>
      <w:r>
        <w:rPr>
          <w:rFonts w:ascii="Times New Roman"/>
          <w:b/>
          <w:i w:val="false"/>
          <w:color w:val="000000"/>
        </w:rPr>
        <w:t>сравнительно-правового анализа национального</w:t>
      </w:r>
      <w:r>
        <w:br/>
      </w:r>
      <w:r>
        <w:rPr>
          <w:rFonts w:ascii="Times New Roman"/>
          <w:b/>
          <w:i w:val="false"/>
          <w:color w:val="000000"/>
        </w:rPr>
        <w:t>законодательства государств – членов Таможенного союза и</w:t>
      </w:r>
      <w:r>
        <w:br/>
      </w:r>
      <w:r>
        <w:rPr>
          <w:rFonts w:ascii="Times New Roman"/>
          <w:b/>
          <w:i w:val="false"/>
          <w:color w:val="000000"/>
        </w:rPr>
        <w:t>Единого экономического пространства на предмет</w:t>
      </w:r>
      <w:r>
        <w:br/>
      </w:r>
      <w:r>
        <w:rPr>
          <w:rFonts w:ascii="Times New Roman"/>
          <w:b/>
          <w:i w:val="false"/>
          <w:color w:val="000000"/>
        </w:rPr>
        <w:t xml:space="preserve">соответствия </w:t>
      </w:r>
      <w:r>
        <w:rPr>
          <w:rFonts w:ascii="Times New Roman"/>
          <w:b/>
          <w:i w:val="false"/>
          <w:color w:val="000000"/>
        </w:rPr>
        <w:t>Соглашению</w:t>
      </w:r>
      <w:r>
        <w:rPr>
          <w:rFonts w:ascii="Times New Roman"/>
          <w:b/>
          <w:i w:val="false"/>
          <w:color w:val="000000"/>
        </w:rPr>
        <w:t xml:space="preserve"> о единых правилах предоставления</w:t>
      </w:r>
      <w:r>
        <w:br/>
      </w:r>
      <w:r>
        <w:rPr>
          <w:rFonts w:ascii="Times New Roman"/>
          <w:b/>
          <w:i w:val="false"/>
          <w:color w:val="000000"/>
        </w:rPr>
        <w:t>промышленных субсидий от 9 декабря 2010 года</w:t>
      </w:r>
      <w:r>
        <w:br/>
      </w:r>
      <w:r>
        <w:rPr>
          <w:rFonts w:ascii="Times New Roman"/>
          <w:b/>
          <w:i w:val="false"/>
          <w:color w:val="000000"/>
        </w:rPr>
        <w:t>I. Общие положения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Настоящее Положение разработано в целях обеспечения реализации Евразийской экономической комиссией (далее – Комиссия) своих полномочий, определенных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Соглашения о единых правилах предоставления промышленных субсидий от 9 декабря 2010 года (далее – Соглашение), и устанавливает порядок осуществления мониторинга и проведения сравнительно-правового анализа национального законодательства государств – членов Таможенного союза и Единого экономического пространства (далее – Стороны) на предмет соответствия его Соглашению, а также подготовки ежегодных отчетов о соблюдении Сторонами положений Соглашения.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Мониторинг осуществляется на регулярной основе в отношении национального законодательства Сторон, которым предусматривается предоставление субсидий на территории Сторон в отношении промышленных товаров (далее – субсидии).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Понятия, используемые в настоящем Положении, применяются в значении, установленном Соглашением. </w:t>
      </w:r>
    </w:p>
    <w:bookmarkEnd w:id="6"/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II. Принципы осуществления мониторинга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Проводимый Комиссией мониторинг базируется на следующих основополагающих принципах: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независимости: результаты мониторинга формируются посредством оценок экспертов, независимых от органов государственной власти Сторон;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объективности: результаты мониторинга отражают реальное состояние дел в исследуемой сфере и не зависят от субъективного мнения и воли проводивших исследования лиц;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законности: мониторинг основывается на положениях Соглашения.</w:t>
      </w:r>
    </w:p>
    <w:bookmarkEnd w:id="11"/>
    <w:bookmarkStart w:name="z14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III. Предмет мониторинга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Мониторингу и сравнительно-правовому анализу подлежат нормативные правовые акты Сторон, в соответствии с которыми осуществляется предоставление субсидий Сторонами после введения в действие Соглашения.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Мониторинг включает в себя сбор, обобщение, анализ и оценку нормативных правовых актов Сторон на предмет соответствия положениям Соглашения, включая: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законодательные акты Сторон;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указы президентов Сторон;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постановления правительств Сторон;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 нормативные правовые акты органов государственной власти Сторон в сфере предоставления субсидий.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При осуществлении сбора необходимых данных используется информация: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поступившая в Комиссию от компетентных органов Сторон и уполномоченных органов Сторон, ответственных за реализацию Соглашения;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размещенная в национальных источниках официального опубликования нормативных правовых актов;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поступившая в Комиссию от юридических и физических лиц Сторон в виде жалоб, претензий, обращений и других сведений;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 поступившая в Комиссию из иных источников.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осуществлении мониторинга помимо видов информации, указанных выше, может быть использована статистическая информация, получаемая на основе статистических данных и дополняемая отраслевой статистикой органов государственной власти Сторон.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При осуществлении мониторинга Комиссия имеет право: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 запрашивать документы и информацию, которые дают представление о механизме и условиях предоставления Сторонами субсидий в отношении промышленных товаров в порядке,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Договором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Евразийской экономической комиссии от 18 ноября 2011 года;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оказывать содействие в организации консультаций Сторон по вопросам осуществления гармонизации и унификации законодательств Сторон на предмет соответствия положениям Соглашения.</w:t>
      </w:r>
    </w:p>
    <w:bookmarkEnd w:id="27"/>
    <w:bookmarkStart w:name="z30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IV. Предоставление информации уполномоченными органами Сторон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В целях проведения мониторинга и осуществления сравнительно- правового анализа законодательств Сторон на предмет соответствия Соглашению, а также подготовки ежегодных отчетов о соблюдении Сторонами положений Соглашения, Стороны на основании запросов Комиссии в порядке и сроки,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Договором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Евразийской экономической комиссии от 18 ноября 2011 года и </w:t>
      </w:r>
      <w:r>
        <w:rPr>
          <w:rFonts w:ascii="Times New Roman"/>
          <w:b w:val="false"/>
          <w:i w:val="false"/>
          <w:color w:val="000000"/>
          <w:sz w:val="28"/>
        </w:rPr>
        <w:t>Регламентом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работы Евразийской экономической комиссии, утвержденным Решением Высшего Евразийского экономического совета от 18 ноября 2011 года № 1, обеспечивают направление в Комиссию: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сведений о действующих нормативных правовых актах Стороны в сфере предоставления субсидий;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информации о целях предоставления Стороной субсидий и результатах их достижения;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уведомлений о предоставленных субсидиях, оформленных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Приложением №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Соглашению (в бумажном и электронном виде);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ежеквартальных отчетов о выполнении положений Соглашения;</w:t>
      </w:r>
    </w:p>
    <w:bookmarkEnd w:id="33"/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иных сведений.</w:t>
      </w:r>
    </w:p>
    <w:bookmarkEnd w:id="34"/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 направляет Сторонам запросы о предоставлении необходимой информации в следующие сроки:</w:t>
      </w:r>
    </w:p>
    <w:bookmarkEnd w:id="35"/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обо всех субсидиях, планируемых к предоставлению в очередном году – ежегодно не позднее 1 ноября текущего года;</w:t>
      </w:r>
    </w:p>
    <w:bookmarkEnd w:id="36"/>
    <w:bookmarkStart w:name="z3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обо всех предоставленных субсидиях – не реже одного раза в квартал;</w:t>
      </w:r>
    </w:p>
    <w:bookmarkEnd w:id="37"/>
    <w:bookmarkStart w:name="z4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обо всех предоставленных на территории государства Стороны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субсидиях за отчетный год – до 1 июня года, следующего за отчетным.</w:t>
      </w:r>
    </w:p>
    <w:bookmarkStart w:name="z41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V. Анализ и оценка Комиссией информации о предоставляемых</w:t>
      </w:r>
      <w:r>
        <w:br/>
      </w:r>
      <w:r>
        <w:rPr>
          <w:rFonts w:ascii="Times New Roman"/>
          <w:b/>
          <w:i w:val="false"/>
          <w:color w:val="000000"/>
        </w:rPr>
        <w:t>Сторонами субсидиях</w:t>
      </w:r>
    </w:p>
    <w:bookmarkEnd w:id="39"/>
    <w:bookmarkStart w:name="z4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Предметом сравнительно-правового анализа является изучение и сопоставление нормативных правовых актов Сторон в сфере предоставления субсидий на предмет их соответствия положениям Соглашения.</w:t>
      </w:r>
    </w:p>
    <w:bookmarkEnd w:id="40"/>
    <w:bookmarkStart w:name="z4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При осуществлении сравнительно-правового анализа исследуются:</w:t>
      </w:r>
    </w:p>
    <w:bookmarkEnd w:id="41"/>
    <w:bookmarkStart w:name="z4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основание предоставления субсидии;</w:t>
      </w:r>
    </w:p>
    <w:bookmarkEnd w:id="42"/>
    <w:bookmarkStart w:name="z4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информация о получателе субсидии (производитель, экспортер, иные лица);</w:t>
      </w:r>
    </w:p>
    <w:bookmarkEnd w:id="43"/>
    <w:bookmarkStart w:name="z4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информация о механизме и условиях предоставления субсидии;</w:t>
      </w:r>
    </w:p>
    <w:bookmarkEnd w:id="44"/>
    <w:bookmarkStart w:name="z4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информация о размере субсидии;</w:t>
      </w:r>
    </w:p>
    <w:bookmarkEnd w:id="45"/>
    <w:bookmarkStart w:name="z4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информация о форме субсидии;</w:t>
      </w:r>
    </w:p>
    <w:bookmarkEnd w:id="46"/>
    <w:bookmarkStart w:name="z4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информация о длительности действия субсидии и (или) другом временном ограничении, применимом к субсидии, включая дату открытия (завершения) субсидии;</w:t>
      </w:r>
    </w:p>
    <w:bookmarkEnd w:id="47"/>
    <w:bookmarkStart w:name="z5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данные по эффекту на торговлю, полученные посредством анализа статистических данных внешней и взаимной торговли, данных по производству, потреблению, импорту и экспорту субсидируемых товаров или секторов:</w:t>
      </w:r>
    </w:p>
    <w:bookmarkEnd w:id="48"/>
    <w:bookmarkStart w:name="z5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три последних года, по которым имеются статистические данные; за предыдущий год – последний год, предшествующий введению субсидии или предшествующий последнему важному изменению субсидии;</w:t>
      </w:r>
    </w:p>
    <w:bookmarkEnd w:id="49"/>
    <w:bookmarkStart w:name="z5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данные об оценке достижения целей предоставления субсидий и оценка влияния предоставленных субсидий на состояние предприятия (отрасли).</w:t>
      </w:r>
    </w:p>
    <w:bookmarkEnd w:id="50"/>
    <w:bookmarkStart w:name="z53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VI. Отчетность Комиссии по результатам мониторинга и</w:t>
      </w:r>
      <w:r>
        <w:br/>
      </w:r>
      <w:r>
        <w:rPr>
          <w:rFonts w:ascii="Times New Roman"/>
          <w:b/>
          <w:i w:val="false"/>
          <w:color w:val="000000"/>
        </w:rPr>
        <w:t>сравнительно-правового анализа</w:t>
      </w:r>
    </w:p>
    <w:bookmarkEnd w:id="51"/>
    <w:bookmarkStart w:name="z5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По результатам проведения мониторинга Комиссия:</w:t>
      </w:r>
    </w:p>
    <w:bookmarkEnd w:id="52"/>
    <w:bookmarkStart w:name="z5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при необходимости готовит предложения Стороне по внесению изменений в национальное законодательство с целью его приведения в соответствие с положениями Соглашения;</w:t>
      </w:r>
    </w:p>
    <w:bookmarkEnd w:id="53"/>
    <w:bookmarkStart w:name="z5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содействует в организации консультаций Сторон по вопросам осуществления гармонизации и унификации национального законодательства на предмет соответствия положениям Соглашения;</w:t>
      </w:r>
    </w:p>
    <w:bookmarkEnd w:id="54"/>
    <w:bookmarkStart w:name="z5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готовит ежегодные отчеты о соблюдении Сторонами положений Соглашения и докладывает информацию по итогам года на заседании Высшего Евразийского экономического совета (на уровне глав правительств).</w:t>
      </w:r>
    </w:p>
    <w:bookmarkEnd w:id="5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