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356a" w14:textId="c0c3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Комиссии Таможенного союза от 18 июня 2010 г. № 289 "О форме и порядке заполнения транзитной декларации"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12 июля 2012 года № 104. Утратил силу решением Коллегии Евразийской экономической комиссии от 30 мая 2023 года № 73</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30.05.2023 </w:t>
      </w:r>
      <w:r>
        <w:rPr>
          <w:rFonts w:ascii="Times New Roman"/>
          <w:b w:val="false"/>
          <w:i w:val="false"/>
          <w:color w:val="ff0000"/>
          <w:sz w:val="28"/>
        </w:rPr>
        <w:t>№ 73</w:t>
      </w:r>
      <w:r>
        <w:rPr>
          <w:rFonts w:ascii="Times New Roman"/>
          <w:b w:val="false"/>
          <w:i w:val="false"/>
          <w:color w:val="ff0000"/>
          <w:sz w:val="28"/>
        </w:rPr>
        <w:t xml:space="preserve"> (вступает в силу с 01.04.2025).</w:t>
      </w:r>
    </w:p>
    <w:bookmarkStart w:name="z1" w:id="0"/>
    <w:p>
      <w:pPr>
        <w:spacing w:after="0"/>
        <w:ind w:left="0"/>
        <w:jc w:val="both"/>
      </w:pPr>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изменения в </w:t>
      </w:r>
      <w:r>
        <w:rPr>
          <w:rFonts w:ascii="Times New Roman"/>
          <w:b w:val="false"/>
          <w:i w:val="false"/>
          <w:color w:val="000000"/>
          <w:sz w:val="28"/>
        </w:rPr>
        <w:t>Инструкцию</w:t>
      </w:r>
      <w:r>
        <w:rPr>
          <w:rFonts w:ascii="Times New Roman"/>
          <w:b w:val="false"/>
          <w:i w:val="false"/>
          <w:color w:val="000000"/>
          <w:sz w:val="28"/>
        </w:rPr>
        <w:t xml:space="preserve"> о порядке заполнения транзитной декларации, утвержденную Решением Комиссии Таможенного союза от 18 июня 2010 г. № 289 (прилагаются).</w:t>
      </w:r>
    </w:p>
    <w:bookmarkEnd w:id="1"/>
    <w:bookmarkStart w:name="z3" w:id="2"/>
    <w:p>
      <w:pPr>
        <w:spacing w:after="0"/>
        <w:ind w:left="0"/>
        <w:jc w:val="both"/>
      </w:pPr>
      <w:r>
        <w:rPr>
          <w:rFonts w:ascii="Times New Roman"/>
          <w:b w:val="false"/>
          <w:i w:val="false"/>
          <w:color w:val="000000"/>
          <w:sz w:val="28"/>
        </w:rPr>
        <w:t>
      2. Настоящее Решение вступает в силу по истечении 30 дней после дня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июля 2012 г. № 104</w:t>
            </w:r>
          </w:p>
        </w:tc>
      </w:tr>
    </w:tbl>
    <w:bookmarkStart w:name="z5" w:id="3"/>
    <w:p>
      <w:pPr>
        <w:spacing w:after="0"/>
        <w:ind w:left="0"/>
        <w:jc w:val="left"/>
      </w:pPr>
      <w:r>
        <w:rPr>
          <w:rFonts w:ascii="Times New Roman"/>
          <w:b/>
          <w:i w:val="false"/>
          <w:color w:val="000000"/>
        </w:rPr>
        <w:t xml:space="preserve"> Изменения</w:t>
      </w:r>
      <w:r>
        <w:br/>
      </w:r>
      <w:r>
        <w:rPr>
          <w:rFonts w:ascii="Times New Roman"/>
          <w:b/>
          <w:i w:val="false"/>
          <w:color w:val="000000"/>
        </w:rPr>
        <w:t>в Инструкцию о порядке заполнения транзитной декларации,</w:t>
      </w:r>
      <w:r>
        <w:br/>
      </w:r>
      <w:r>
        <w:rPr>
          <w:rFonts w:ascii="Times New Roman"/>
          <w:b/>
          <w:i w:val="false"/>
          <w:color w:val="000000"/>
        </w:rPr>
        <w:t>утвержденную Решением Комиссии Таможенного союза</w:t>
      </w:r>
      <w:r>
        <w:br/>
      </w:r>
      <w:r>
        <w:rPr>
          <w:rFonts w:ascii="Times New Roman"/>
          <w:b/>
          <w:i w:val="false"/>
          <w:color w:val="000000"/>
        </w:rPr>
        <w:t>от 18 июня 2010 г. № 289</w:t>
      </w:r>
    </w:p>
    <w:bookmarkEnd w:id="3"/>
    <w:bookmarkStart w:name="z6"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 xml:space="preserve"> Инструкции о порядке заполнения транзитной декларации:</w:t>
      </w:r>
    </w:p>
    <w:bookmarkEnd w:id="4"/>
    <w:bookmarkStart w:name="z7" w:id="5"/>
    <w:p>
      <w:pPr>
        <w:spacing w:after="0"/>
        <w:ind w:left="0"/>
        <w:jc w:val="both"/>
      </w:pPr>
      <w:r>
        <w:rPr>
          <w:rFonts w:ascii="Times New Roman"/>
          <w:b w:val="false"/>
          <w:i w:val="false"/>
          <w:color w:val="000000"/>
          <w:sz w:val="28"/>
        </w:rPr>
        <w:t>
      1. Правила заполнения графы 22 дополнить частью второй следующего содержания:</w:t>
      </w:r>
    </w:p>
    <w:bookmarkEnd w:id="5"/>
    <w:p>
      <w:pPr>
        <w:spacing w:after="0"/>
        <w:ind w:left="0"/>
        <w:jc w:val="both"/>
      </w:pPr>
      <w:r>
        <w:rPr>
          <w:rFonts w:ascii="Times New Roman"/>
          <w:b w:val="false"/>
          <w:i w:val="false"/>
          <w:color w:val="000000"/>
          <w:sz w:val="28"/>
        </w:rPr>
        <w:t>
      "Данная графа может не заполняться в случаях перемещения:</w:t>
      </w:r>
    </w:p>
    <w:p>
      <w:pPr>
        <w:spacing w:after="0"/>
        <w:ind w:left="0"/>
        <w:jc w:val="both"/>
      </w:pPr>
      <w:r>
        <w:rPr>
          <w:rFonts w:ascii="Times New Roman"/>
          <w:b w:val="false"/>
          <w:i w:val="false"/>
          <w:color w:val="000000"/>
          <w:sz w:val="28"/>
        </w:rPr>
        <w:t>
      товаров Таможенного союза с территории Таможенного союза на территорию Таможенного союза через территорию или территории государств, не являющихся членами Таможенного союза;</w:t>
      </w:r>
    </w:p>
    <w:p>
      <w:pPr>
        <w:spacing w:after="0"/>
        <w:ind w:left="0"/>
        <w:jc w:val="both"/>
      </w:pPr>
      <w:r>
        <w:rPr>
          <w:rFonts w:ascii="Times New Roman"/>
          <w:b w:val="false"/>
          <w:i w:val="false"/>
          <w:color w:val="000000"/>
          <w:sz w:val="28"/>
        </w:rPr>
        <w:t>
      иностранных товаров железнодорожным транспортном от таможенного органа в месте прибытия на таможенную территорию Таможенного союза до таможенного органа в месте убытия с такой территории.".</w:t>
      </w:r>
    </w:p>
    <w:bookmarkStart w:name="z8" w:id="6"/>
    <w:p>
      <w:pPr>
        <w:spacing w:after="0"/>
        <w:ind w:left="0"/>
        <w:jc w:val="both"/>
      </w:pPr>
      <w:r>
        <w:rPr>
          <w:rFonts w:ascii="Times New Roman"/>
          <w:b w:val="false"/>
          <w:i w:val="false"/>
          <w:color w:val="000000"/>
          <w:sz w:val="28"/>
        </w:rPr>
        <w:t>
      2. Правила заполнения графы 42 дополнить частью второй следующего содержания:</w:t>
      </w:r>
    </w:p>
    <w:bookmarkEnd w:id="6"/>
    <w:p>
      <w:pPr>
        <w:spacing w:after="0"/>
        <w:ind w:left="0"/>
        <w:jc w:val="both"/>
      </w:pPr>
      <w:r>
        <w:rPr>
          <w:rFonts w:ascii="Times New Roman"/>
          <w:b w:val="false"/>
          <w:i w:val="false"/>
          <w:color w:val="000000"/>
          <w:sz w:val="28"/>
        </w:rPr>
        <w:t>
      "Данная графа может не заполняться в случаях перемещения:</w:t>
      </w:r>
    </w:p>
    <w:p>
      <w:pPr>
        <w:spacing w:after="0"/>
        <w:ind w:left="0"/>
        <w:jc w:val="both"/>
      </w:pPr>
      <w:r>
        <w:rPr>
          <w:rFonts w:ascii="Times New Roman"/>
          <w:b w:val="false"/>
          <w:i w:val="false"/>
          <w:color w:val="000000"/>
          <w:sz w:val="28"/>
        </w:rPr>
        <w:t>
      товаров Таможенного союза с территории Таможенного союза на территорию Таможенного союза через территорию или территории государств, не являющихся членами Таможенного союза;</w:t>
      </w:r>
    </w:p>
    <w:p>
      <w:pPr>
        <w:spacing w:after="0"/>
        <w:ind w:left="0"/>
        <w:jc w:val="both"/>
      </w:pPr>
      <w:r>
        <w:rPr>
          <w:rFonts w:ascii="Times New Roman"/>
          <w:b w:val="false"/>
          <w:i w:val="false"/>
          <w:color w:val="000000"/>
          <w:sz w:val="28"/>
        </w:rPr>
        <w:t>
      иностранных товаров железнодорожным транспортном от таможенного органа в месте прибытия на таможенную территорию Таможенного союза до таможенного органа в месте убытия с такой территории.".</w:t>
      </w:r>
    </w:p>
    <w:bookmarkStart w:name="z9" w:id="7"/>
    <w:p>
      <w:pPr>
        <w:spacing w:after="0"/>
        <w:ind w:left="0"/>
        <w:jc w:val="both"/>
      </w:pPr>
      <w:r>
        <w:rPr>
          <w:rFonts w:ascii="Times New Roman"/>
          <w:b w:val="false"/>
          <w:i w:val="false"/>
          <w:color w:val="000000"/>
          <w:sz w:val="28"/>
        </w:rPr>
        <w:t>
      3. Часть третью правил заполнения графы 44 дополнить абзацемседьмым следующего содержания:</w:t>
      </w:r>
    </w:p>
    <w:bookmarkEnd w:id="7"/>
    <w:p>
      <w:pPr>
        <w:spacing w:after="0"/>
        <w:ind w:left="0"/>
        <w:jc w:val="both"/>
      </w:pPr>
      <w:r>
        <w:rPr>
          <w:rFonts w:ascii="Times New Roman"/>
          <w:b w:val="false"/>
          <w:i w:val="false"/>
          <w:color w:val="000000"/>
          <w:sz w:val="28"/>
        </w:rPr>
        <w:t>
      "номера и даты выдачи документов об условиях переработки товаров на таможенной территории или документов об условиях переработки для внутреннего потребления, если иностранные товары, помещенные под таможенную процедуру переработки на таможенной территории или таможенную процедуру переработки для внутреннего потребления, перемещаются через территорию государства или территории государств, не являющихся членами Таможенного союза.".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