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90e2" w14:textId="1ea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для которой в 2012 году вступают в силу технические регламенты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620, главы 8, 9, 14, 15, 18,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