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3092" w14:textId="8d0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года № 799 "О принятии технического регламента Таможенного союза "О безопасности парфюмерно-косметической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Решение Комиссии Таможенного союза от 23 сентября 2011 года № 799 «О принятии технического регламента Таможенного союза «О безопасности парфюмерно-косметической продукции»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СОВЕТ ЕВРАЗИЙСКОЙ ЭКОНОМИЧЕСКОЙ КОМИССИИ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 2012 г.      №                  г. Москва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23 сентября 2011 года № 799 «О принятии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</w:t>
      </w:r>
      <w:r>
        <w:br/>
      </w:r>
      <w:r>
        <w:rPr>
          <w:rFonts w:ascii="Times New Roman"/>
          <w:b/>
          <w:i w:val="false"/>
          <w:color w:val="000000"/>
        </w:rPr>
        <w:t>
парфюмерно-косметической продукции»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Комиссии Таможенного союза от 23 сентября 2011 года № 799 «О принятии технического регламента Таможенного союза «О безопасности парфюмерно-косметической продукции»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новым подпунктом 3.3-1 следующего содержания: «3.3-1.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3.4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«3.4. Обращение продукции, выпущенной в обращение в период действия документов об оценке (подтверждении) соответствия, указанных подпункте 3.2 настоящего Решения, а также продукции, указанной в подпункте 3.3-1 настоящего Решения, допускается в течение срока годности продукции, установленного в соответствии с законодательством государства –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со дня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633"/>
        <w:gridCol w:w="3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