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908f" w14:textId="3c69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p>
    <w:p>
      <w:pPr>
        <w:spacing w:after="0"/>
        <w:ind w:left="0"/>
        <w:jc w:val="both"/>
      </w:pPr>
      <w:r>
        <w:rPr>
          <w:rFonts w:ascii="Times New Roman"/>
          <w:b w:val="false"/>
          <w:i w:val="false"/>
          <w:color w:val="000000"/>
          <w:sz w:val="28"/>
        </w:rPr>
        <w:t>Решение Комиссии таможенного союза от 9 декабря 2011 года № 893</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изменения в Единые ветеринарные (ветеринарно-санитарные) требования, предъявляемые к товарам, подлежащим ветеринарному контролю (надзору),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даты его официального опубликования.</w:t>
      </w:r>
    </w:p>
    <w:bookmarkEnd w:id="0"/>
    <w:p>
      <w:pPr>
        <w:spacing w:after="0"/>
        <w:ind w:left="0"/>
        <w:jc w:val="both"/>
      </w:pPr>
      <w:r>
        <w:rPr>
          <w:rFonts w:ascii="Times New Roman"/>
          <w:b w:val="false"/>
          <w:i/>
          <w:color w:val="000000"/>
          <w:sz w:val="28"/>
        </w:rPr>
        <w:t xml:space="preserve">Члены Комиссии Таможенного союза: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5067"/>
        <w:gridCol w:w="4296"/>
      </w:tblGrid>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9 декабря 2011 № 893</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 Единые ветеринарные (ветеринарно-санитарные) требования,</w:t>
      </w:r>
      <w:r>
        <w:br/>
      </w:r>
      <w:r>
        <w:rPr>
          <w:rFonts w:ascii="Times New Roman"/>
          <w:b/>
          <w:i w:val="false"/>
          <w:color w:val="000000"/>
        </w:rPr>
        <w:t>
предъявляемые к товарам, подлежащим ветеринарному</w:t>
      </w:r>
      <w:r>
        <w:br/>
      </w:r>
      <w:r>
        <w:rPr>
          <w:rFonts w:ascii="Times New Roman"/>
          <w:b/>
          <w:i w:val="false"/>
          <w:color w:val="000000"/>
        </w:rPr>
        <w:t>
контролю (надзору)</w:t>
      </w:r>
    </w:p>
    <w:bookmarkEnd w:id="2"/>
    <w:bookmarkStart w:name="z6" w:id="3"/>
    <w:p>
      <w:pPr>
        <w:spacing w:after="0"/>
        <w:ind w:left="0"/>
        <w:jc w:val="both"/>
      </w:pPr>
      <w:r>
        <w:rPr>
          <w:rFonts w:ascii="Times New Roman"/>
          <w:b w:val="false"/>
          <w:i w:val="false"/>
          <w:color w:val="000000"/>
          <w:sz w:val="28"/>
        </w:rPr>
        <w:t>
      Внести в </w:t>
      </w:r>
      <w:r>
        <w:rPr>
          <w:rFonts w:ascii="Times New Roman"/>
          <w:b w:val="false"/>
          <w:i w:val="false"/>
          <w:color w:val="000000"/>
          <w:sz w:val="28"/>
        </w:rPr>
        <w:t>Единые ветеринарные (ветеринарно-санитарные) требования</w:t>
      </w:r>
      <w:r>
        <w:rPr>
          <w:rFonts w:ascii="Times New Roman"/>
          <w:b w:val="false"/>
          <w:i w:val="false"/>
          <w:color w:val="000000"/>
          <w:sz w:val="28"/>
        </w:rPr>
        <w:t>, предъявляемые к товарам, подлежащим ветеринарному контролю (надзору),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года № 317,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Главе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абзаце первом</w:t>
      </w:r>
      <w:r>
        <w:rPr>
          <w:rFonts w:ascii="Times New Roman"/>
          <w:b w:val="false"/>
          <w:i w:val="false"/>
          <w:color w:val="000000"/>
          <w:sz w:val="28"/>
        </w:rPr>
        <w:t xml:space="preserve"> части первой исключить слово «лептоспироза»;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Часть третью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 время карантина проводятся диагностические исследования животных на бруцеллез, туберкулез, паратуберкулез, энзоотический лейкоз, трихомоноз (T.fetus), кампилобактериоз (Campylobacter fetus venerealis) для быков, хламидиоз,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а также их ежедневное внешнее обследование.</w:t>
      </w:r>
      <w:r>
        <w:br/>
      </w:r>
      <w:r>
        <w:rPr>
          <w:rFonts w:ascii="Times New Roman"/>
          <w:b w:val="false"/>
          <w:i w:val="false"/>
          <w:color w:val="000000"/>
          <w:sz w:val="28"/>
        </w:rPr>
        <w:t>
      Животные с признаками болезней должны быть клинически обследованы, включая ежедневную термометрию.</w:t>
      </w:r>
      <w:r>
        <w:br/>
      </w:r>
      <w:r>
        <w:rPr>
          <w:rFonts w:ascii="Times New Roman"/>
          <w:b w:val="false"/>
          <w:i w:val="false"/>
          <w:color w:val="000000"/>
          <w:sz w:val="28"/>
        </w:rPr>
        <w:t>
      Исследование на другие списочные болезни МЭБ может быть запрошено уполномоченным органом Стороны только в том случае, если на территории запрашивающей Стороны проводятся программы по профилактике и/или искоренению этих болезней.».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Главе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абзаце пятом</w:t>
      </w:r>
      <w:r>
        <w:rPr>
          <w:rFonts w:ascii="Times New Roman"/>
          <w:b w:val="false"/>
          <w:i w:val="false"/>
          <w:color w:val="000000"/>
          <w:sz w:val="28"/>
        </w:rPr>
        <w:t xml:space="preserve"> части второй перед словом «лейкоза» добавить слово «энзоотического»;</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Часть четвертую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«Быки–производители должны содержаться в центрах отбора спермы и/или на предприятиях искусственного осеменения не менее 30 дней до взятия спермы и не использоваться в течение этого времени для естественного осеменения.»;</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Часть шестую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 время содержания в центре по отбору спермы перед взятием спермы быков-производителей исследуют (с использованием методов и сроков, рекомендованных МЭБ) на туберкулез, паратуберкулез, бруцеллез,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энзоотический лейкоз, блутанг, инфекционный ринотрахеит, вирусную диарею, трихомоноз (</w:t>
      </w:r>
      <w:r>
        <w:rPr>
          <w:rFonts w:ascii="Times New Roman"/>
          <w:b w:val="false"/>
          <w:i/>
          <w:color w:val="000000"/>
          <w:sz w:val="28"/>
        </w:rPr>
        <w:t>T.fetus</w:t>
      </w:r>
      <w:r>
        <w:rPr>
          <w:rFonts w:ascii="Times New Roman"/>
          <w:b w:val="false"/>
          <w:i w:val="false"/>
          <w:color w:val="000000"/>
          <w:sz w:val="28"/>
        </w:rPr>
        <w:t>), кампилобактериоз(</w:t>
      </w:r>
      <w:r>
        <w:rPr>
          <w:rFonts w:ascii="Times New Roman"/>
          <w:b w:val="false"/>
          <w:i/>
          <w:color w:val="000000"/>
          <w:sz w:val="28"/>
        </w:rPr>
        <w:t>Campylobacter fetus venerealis</w:t>
      </w:r>
      <w:r>
        <w:rPr>
          <w:rFonts w:ascii="Times New Roman"/>
          <w:b w:val="false"/>
          <w:i w:val="false"/>
          <w:color w:val="000000"/>
          <w:sz w:val="28"/>
        </w:rPr>
        <w:t>) для быков, хламидиоз.</w:t>
      </w:r>
      <w:r>
        <w:br/>
      </w:r>
      <w:r>
        <w:rPr>
          <w:rFonts w:ascii="Times New Roman"/>
          <w:b w:val="false"/>
          <w:i w:val="false"/>
          <w:color w:val="000000"/>
          <w:sz w:val="28"/>
        </w:rPr>
        <w:t>
      Исследование на другие списочные болезни МЭБ может быть запрошено уполномоченным органом Стороны только в том случае, если на территории запрашивающей Стороны проводятся программы по профилактике и/или искоренению этих болезней.»;</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Часть седьмую</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Часть восьмую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«Сперма должна быть собрана, обработана, храниться и транспортироваться в соответствии с рекомендациями Кодекса МЭБ.».</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Главу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ввозу на таможенную территорию Таможенного союза и (или) перемещению между Сторонами допускается мясо и другое пищевое мясное сырье, полученное от убоя и переработки здоровых животных на боенских, мясоперерабатывающих предприятиях.</w:t>
      </w:r>
      <w:r>
        <w:br/>
      </w:r>
      <w:r>
        <w:rPr>
          <w:rFonts w:ascii="Times New Roman"/>
          <w:b w:val="false"/>
          <w:i w:val="false"/>
          <w:color w:val="000000"/>
          <w:sz w:val="28"/>
        </w:rPr>
        <w:t>
      Животные, мясо и другое пищевое мясное сырье от которых предназначено для экспорта на территорию Таможенного союза, подлежат предубойному ветеринарному осмотру, а туши, головы и внутренние органы от них - послеубойной ветеринарно-санитарной экспертизе. Мясо и другое пищевое мясное сырье должны быть признаны пригодным для употребления в пищу человеку.</w:t>
      </w:r>
      <w:r>
        <w:br/>
      </w:r>
      <w:r>
        <w:rPr>
          <w:rFonts w:ascii="Times New Roman"/>
          <w:b w:val="false"/>
          <w:i w:val="false"/>
          <w:color w:val="000000"/>
          <w:sz w:val="28"/>
        </w:rPr>
        <w:t>
      Туши (полутуши, четвертины) должны иметь четкое клеймо государственного ветеринарного надзора с обозначением названия или номера мясокомбината (мясохладобойни), на котором был произведен убой животных. Разделанное мясо должно иметь маркировку (ветеринарное клеймо) на упаковке или полиблоке. Маркировочная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 или прикреплена к упаковке (нанесена на упаковку) таким образом, чтобы она не могла быть использована вторично. В этом случае упаковка должна быть сконструирована так, чтобы в случае вскрытия ее первоначальный вид не возможно было бы восстановить.</w:t>
      </w:r>
      <w:r>
        <w:br/>
      </w:r>
      <w:r>
        <w:rPr>
          <w:rFonts w:ascii="Times New Roman"/>
          <w:b w:val="false"/>
          <w:i w:val="false"/>
          <w:color w:val="000000"/>
          <w:sz w:val="28"/>
        </w:rPr>
        <w:t>
      Мясо и другое пищевое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w:t>
      </w:r>
      <w:r>
        <w:br/>
      </w:r>
      <w:r>
        <w:rPr>
          <w:rFonts w:ascii="Times New Roman"/>
          <w:b w:val="false"/>
          <w:i w:val="false"/>
          <w:color w:val="000000"/>
          <w:sz w:val="28"/>
        </w:rPr>
        <w:t>
      Для всех видов животных:</w:t>
      </w:r>
      <w:r>
        <w:br/>
      </w: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сибирской язвы - в течение последних 20 дней на территории хозяйства.</w:t>
      </w:r>
      <w:r>
        <w:br/>
      </w:r>
      <w:r>
        <w:rPr>
          <w:rFonts w:ascii="Times New Roman"/>
          <w:b w:val="false"/>
          <w:i w:val="false"/>
          <w:color w:val="000000"/>
          <w:sz w:val="28"/>
        </w:rPr>
        <w:t>
      Для крупного рогатого скота:</w:t>
      </w:r>
      <w:r>
        <w:br/>
      </w:r>
      <w:r>
        <w:rPr>
          <w:rFonts w:ascii="Times New Roman"/>
          <w:b w:val="false"/>
          <w:i w:val="false"/>
          <w:color w:val="000000"/>
          <w:sz w:val="28"/>
        </w:rPr>
        <w:t>
      - губкообразной энцефалопатии крупного рогатого скота -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r>
        <w:br/>
      </w: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контагиозной плевропневмонии - в течение последних 24 месяцев в случае ввоза (перемещения) легких;</w:t>
      </w:r>
      <w:r>
        <w:br/>
      </w:r>
      <w:r>
        <w:rPr>
          <w:rFonts w:ascii="Times New Roman"/>
          <w:b w:val="false"/>
          <w:i w:val="false"/>
          <w:color w:val="000000"/>
          <w:sz w:val="28"/>
        </w:rPr>
        <w:t>
      - бруцеллеза, туберкулеза - в течение последних 6 месяцев на территории хозяйства;</w:t>
      </w:r>
      <w:r>
        <w:br/>
      </w:r>
      <w:r>
        <w:rPr>
          <w:rFonts w:ascii="Times New Roman"/>
          <w:b w:val="false"/>
          <w:i w:val="false"/>
          <w:color w:val="000000"/>
          <w:sz w:val="28"/>
        </w:rPr>
        <w:t>
      - энзоотического лейкоза - в течение последних 12 месяцев в хозяйстве.</w:t>
      </w:r>
      <w:r>
        <w:br/>
      </w:r>
      <w:r>
        <w:rPr>
          <w:rFonts w:ascii="Times New Roman"/>
          <w:b w:val="false"/>
          <w:i w:val="false"/>
          <w:color w:val="000000"/>
          <w:sz w:val="28"/>
        </w:rPr>
        <w:t>
      Для овец и коз:</w:t>
      </w:r>
      <w:r>
        <w:br/>
      </w:r>
      <w:r>
        <w:rPr>
          <w:rFonts w:ascii="Times New Roman"/>
          <w:b w:val="false"/>
          <w:i w:val="false"/>
          <w:color w:val="000000"/>
          <w:sz w:val="28"/>
        </w:rPr>
        <w:t>
      скрепи овец – в соответствии с рекомендациями Кодекса МЭБ;</w:t>
      </w:r>
      <w:r>
        <w:br/>
      </w: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 или в течении 6 месяцев при проведении «стэмпинг аут» с даты убоя последнего пораженного животного;</w:t>
      </w:r>
      <w:r>
        <w:br/>
      </w: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бруцеллеза, туберкулеза - в течение последних 6 месяцев на территории хозяйства.</w:t>
      </w:r>
      <w:r>
        <w:br/>
      </w:r>
      <w:r>
        <w:rPr>
          <w:rFonts w:ascii="Times New Roman"/>
          <w:b w:val="false"/>
          <w:i w:val="false"/>
          <w:color w:val="000000"/>
          <w:sz w:val="28"/>
        </w:rPr>
        <w:t>
      Для свиней</w:t>
      </w:r>
      <w:r>
        <w:br/>
      </w:r>
      <w:r>
        <w:rPr>
          <w:rFonts w:ascii="Times New Roman"/>
          <w:b w:val="false"/>
          <w:i w:val="false"/>
          <w:color w:val="000000"/>
          <w:sz w:val="28"/>
        </w:rPr>
        <w:t>
      - африканской чумы свиней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«стемпинг аут»;</w:t>
      </w:r>
      <w:r>
        <w:br/>
      </w:r>
      <w:r>
        <w:rPr>
          <w:rFonts w:ascii="Times New Roman"/>
          <w:b w:val="false"/>
          <w:i w:val="false"/>
          <w:color w:val="000000"/>
          <w:sz w:val="28"/>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болезнь Ауески - на территории страны, в соответствии с рекомендациями Кодекса МЭБ в случае ввоза (перемещения) голов и внутренних органов;</w:t>
      </w:r>
      <w:r>
        <w:br/>
      </w:r>
      <w:r>
        <w:rPr>
          <w:rFonts w:ascii="Times New Roman"/>
          <w:b w:val="false"/>
          <w:i w:val="false"/>
          <w:color w:val="000000"/>
          <w:sz w:val="28"/>
        </w:rPr>
        <w:t>
      - энтеровирусного энцефаломиелита свиней (тексовирусного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трихинеллеза – при отсутствии зарегистрированных случаев болезни в течение последних 3 месяцев на территории хозяйства.</w:t>
      </w:r>
      <w:r>
        <w:br/>
      </w:r>
      <w:r>
        <w:rPr>
          <w:rFonts w:ascii="Times New Roman"/>
          <w:b w:val="false"/>
          <w:i w:val="false"/>
          <w:color w:val="000000"/>
          <w:sz w:val="28"/>
        </w:rPr>
        <w:t>
      - репродуктивно-респираторного синдрома свиней – в течение последних 6 месяцев на территории хозяйства.</w:t>
      </w:r>
      <w:r>
        <w:br/>
      </w:r>
      <w:r>
        <w:rPr>
          <w:rFonts w:ascii="Times New Roman"/>
          <w:b w:val="false"/>
          <w:i w:val="false"/>
          <w:color w:val="000000"/>
          <w:sz w:val="28"/>
        </w:rPr>
        <w:t>
      - К ввозу на таможенную территорию Таможенного союза и (или) перемещению между Сторонами допускаются:</w:t>
      </w:r>
      <w:r>
        <w:br/>
      </w:r>
      <w:r>
        <w:rPr>
          <w:rFonts w:ascii="Times New Roman"/>
          <w:b w:val="false"/>
          <w:i w:val="false"/>
          <w:color w:val="000000"/>
          <w:sz w:val="28"/>
        </w:rPr>
        <w:t>
      - мясо и другое пищевое мясное сырье из говядины и баранины, произведенные от убоя животных, которые не получали корма животного происхождения, содержащих белки жвачных животных, за исключением веществ, рекомендованных Кодексом МЭБ;</w:t>
      </w:r>
      <w:r>
        <w:br/>
      </w:r>
      <w:r>
        <w:rPr>
          <w:rFonts w:ascii="Times New Roman"/>
          <w:b w:val="false"/>
          <w:i w:val="false"/>
          <w:color w:val="000000"/>
          <w:sz w:val="28"/>
        </w:rPr>
        <w:t>
      - свинина при соблюдении одного из следующих условий:</w:t>
      </w:r>
      <w:r>
        <w:br/>
      </w:r>
      <w:r>
        <w:rPr>
          <w:rFonts w:ascii="Times New Roman"/>
          <w:b w:val="false"/>
          <w:i w:val="false"/>
          <w:color w:val="000000"/>
          <w:sz w:val="28"/>
        </w:rPr>
        <w:t>
      - каждая свиная туша исследована на трихинеллез с отрицательным результатом или свинина подвергнутая заморозке, как указано в нижеследующей таблице: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61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(часов)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bl>
    <w:p>
      <w:pPr>
        <w:spacing w:after="0"/>
        <w:ind w:left="0"/>
        <w:jc w:val="both"/>
      </w:pPr>
      <w:r>
        <w:rPr>
          <w:rFonts w:ascii="Times New Roman"/>
          <w:b w:val="false"/>
          <w:i w:val="false"/>
          <w:color w:val="000000"/>
          <w:sz w:val="28"/>
        </w:rPr>
        <w:t>      К ввозу на таможенную территорию Таможенного союза и (или) перемещению между Сторонами не допускается мясо и другое пищевое мясное сырье, полученное от туш:</w:t>
      </w:r>
      <w:r>
        <w:br/>
      </w:r>
      <w:r>
        <w:rPr>
          <w:rFonts w:ascii="Times New Roman"/>
          <w:b w:val="false"/>
          <w:i w:val="false"/>
          <w:color w:val="000000"/>
          <w:sz w:val="28"/>
        </w:rPr>
        <w:t>
      - имеющих при послеубойной ветеринарно-санитарной экспертизе изменения, характерные для ящура, чумы, анаэробных инфекций, туберкулеза, энзоотического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r>
        <w:br/>
      </w:r>
      <w:r>
        <w:rPr>
          <w:rFonts w:ascii="Times New Roman"/>
          <w:b w:val="false"/>
          <w:i w:val="false"/>
          <w:color w:val="000000"/>
          <w:sz w:val="28"/>
        </w:rPr>
        <w:t>
      - подвергнутые дефростации в период хранения;</w:t>
      </w:r>
      <w:r>
        <w:br/>
      </w:r>
      <w:r>
        <w:rPr>
          <w:rFonts w:ascii="Times New Roman"/>
          <w:b w:val="false"/>
          <w:i w:val="false"/>
          <w:color w:val="000000"/>
          <w:sz w:val="28"/>
        </w:rPr>
        <w:t>
      - имеющие признаки порчи;</w:t>
      </w:r>
      <w:r>
        <w:br/>
      </w:r>
      <w:r>
        <w:rPr>
          <w:rFonts w:ascii="Times New Roman"/>
          <w:b w:val="false"/>
          <w:i w:val="false"/>
          <w:color w:val="000000"/>
          <w:sz w:val="28"/>
        </w:rPr>
        <w:t>
      - имеющие температуру в толще мышц бедра выше минус 8 градусов Цельсия для замороженного мяса, и выше плюс 4 градусов Цельсия - для охлажденного;</w:t>
      </w:r>
      <w:r>
        <w:br/>
      </w:r>
      <w:r>
        <w:rPr>
          <w:rFonts w:ascii="Times New Roman"/>
          <w:b w:val="false"/>
          <w:i w:val="false"/>
          <w:color w:val="000000"/>
          <w:sz w:val="28"/>
        </w:rPr>
        <w:t>
      -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r>
        <w:br/>
      </w:r>
      <w:r>
        <w:rPr>
          <w:rFonts w:ascii="Times New Roman"/>
          <w:b w:val="false"/>
          <w:i w:val="false"/>
          <w:color w:val="000000"/>
          <w:sz w:val="28"/>
        </w:rPr>
        <w:t>
      - содержащие средства консервирования;</w:t>
      </w:r>
      <w:r>
        <w:br/>
      </w:r>
      <w:r>
        <w:rPr>
          <w:rFonts w:ascii="Times New Roman"/>
          <w:b w:val="false"/>
          <w:i w:val="false"/>
          <w:color w:val="000000"/>
          <w:sz w:val="28"/>
        </w:rPr>
        <w:t>
      - контаминированные сальмонеллами в количестве, представляющем опасность для здоровья человека, в соответствии с установленными на территории Таможенного союза требованиями;</w:t>
      </w:r>
      <w:r>
        <w:br/>
      </w:r>
      <w:r>
        <w:rPr>
          <w:rFonts w:ascii="Times New Roman"/>
          <w:b w:val="false"/>
          <w:i w:val="false"/>
          <w:color w:val="000000"/>
          <w:sz w:val="28"/>
        </w:rPr>
        <w:t>
      - обработанные красящими веществами.</w:t>
      </w:r>
      <w:r>
        <w:br/>
      </w:r>
      <w:r>
        <w:rPr>
          <w:rFonts w:ascii="Times New Roman"/>
          <w:b w:val="false"/>
          <w:i w:val="false"/>
          <w:color w:val="000000"/>
          <w:sz w:val="28"/>
        </w:rPr>
        <w:t>
      Микробиологические, физико-химические, химико-токсикологические и радиологические показатели мяса и другого пищевого мясного сырья должны соответствовать установленным на территории Таможенного союза ветеринарным и санитарным правилам и требованиям».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