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15566" w14:textId="77155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мероприятий по разработке нормативных правовых актов в области регистрации и мониторинга медицинских изделий (изделий медицинского назначения и медицинской техники)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9 декабря 2011 года № 891. Утратило силу решением Коллегии Евразийской экономической комиссии от 20 ноября 2018 года № 186.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20.11.2018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разработке нормативных правовых актов в области регистрации и мониторинга медицинских изделий (изделий медицинского назначения и медицинской техники) (прилагается).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Сторонам обеспечить выполнение 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указанного в 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настоящего Решения, в установленные сроки.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даты его официального опубликования.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Члены Комиссии Таможенного союза: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Комисси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2011 г. № 891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</w:t>
      </w:r>
      <w:r>
        <w:br/>
      </w:r>
      <w:r>
        <w:rPr>
          <w:rFonts w:ascii="Times New Roman"/>
          <w:b/>
          <w:i w:val="false"/>
          <w:color w:val="000000"/>
        </w:rPr>
        <w:t>по разработке нормативных правовых актов в области регистрации</w:t>
      </w:r>
      <w:r>
        <w:br/>
      </w:r>
      <w:r>
        <w:rPr>
          <w:rFonts w:ascii="Times New Roman"/>
          <w:b/>
          <w:i w:val="false"/>
          <w:color w:val="000000"/>
        </w:rPr>
        <w:t>и мониторинга медицинских изделий (изделий медицинского</w:t>
      </w:r>
      <w:r>
        <w:br/>
      </w:r>
      <w:r>
        <w:rPr>
          <w:rFonts w:ascii="Times New Roman"/>
          <w:b/>
          <w:i w:val="false"/>
          <w:color w:val="000000"/>
        </w:rPr>
        <w:t>назначения и медицинской техники) (далее – медицинские изделия)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2"/>
        <w:gridCol w:w="1549"/>
        <w:gridCol w:w="4576"/>
        <w:gridCol w:w="946"/>
        <w:gridCol w:w="1065"/>
        <w:gridCol w:w="1066"/>
        <w:gridCol w:w="1066"/>
      </w:tblGrid>
      <w:tr>
        <w:trPr>
          <w:trHeight w:val="30" w:hRule="atLeast"/>
        </w:trPr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4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КТС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орган Стороны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Гармонизация нормативных правовых актов (2011-2012 гг.)</w:t>
            </w:r>
          </w:p>
        </w:tc>
      </w:tr>
      <w:tr>
        <w:trPr>
          <w:trHeight w:val="30" w:hRule="atLeast"/>
        </w:trPr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терминологии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охранения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зависимости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риска применения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Минздравсоц-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России</w:t>
            </w:r>
          </w:p>
        </w:tc>
      </w:tr>
      <w:tr>
        <w:trPr>
          <w:trHeight w:val="30" w:hRule="atLeast"/>
        </w:trPr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Минздравсоц-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России</w:t>
            </w:r>
          </w:p>
        </w:tc>
      </w:tr>
      <w:tr>
        <w:trPr>
          <w:trHeight w:val="30" w:hRule="atLeast"/>
        </w:trPr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 (по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видам)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Минздравсоц-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России</w:t>
            </w:r>
          </w:p>
        </w:tc>
      </w:tr>
      <w:tr>
        <w:trPr>
          <w:trHeight w:val="30" w:hRule="atLeast"/>
        </w:trPr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охранения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 видо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подлежащих 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регистрации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отнесению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редствам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измерений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Минздравсоц-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России</w:t>
            </w:r>
          </w:p>
        </w:tc>
      </w:tr>
      <w:tr>
        <w:trPr>
          <w:trHeight w:val="30" w:hRule="atLeast"/>
        </w:trPr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отчета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Минздравсоц-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России</w:t>
            </w:r>
          </w:p>
        </w:tc>
      </w:tr>
      <w:tr>
        <w:trPr>
          <w:trHeight w:val="30" w:hRule="atLeast"/>
        </w:trPr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2012 г.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охранения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оценки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(токсикологи-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исследования)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2012 г.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охранения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2012 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охранения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2012 г.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охранения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охранения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Унификация нормативных правовых актов (2012 г.)</w:t>
            </w:r>
          </w:p>
        </w:tc>
      </w:tr>
      <w:tr>
        <w:trPr>
          <w:trHeight w:val="30" w:hRule="atLeast"/>
        </w:trPr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формы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Минздравсоц-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России</w:t>
            </w:r>
          </w:p>
        </w:tc>
      </w:tr>
      <w:tr>
        <w:trPr>
          <w:trHeight w:val="30" w:hRule="atLeast"/>
        </w:trPr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и порядка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Единого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2012 г.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охранения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взаимного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охранения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охранения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*Документ разработан и представлен в СКТС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