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631c" w14:textId="e5c6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дметально-убороч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«8705 90 900 1 ТН ВЭД ТС» заменены словами «8705 90 800 5 единой Товарной номенклатуры внешнеэкономической деятельности Евразийского экономического союза», слова «интерпретации ТН ВЭД ТС» заменены словами «интерпретации Товарной номенклатуры внешнеэкономической деятельности» в соответствии решения Коллегии Евразийской экономической комиссии от 21.11.201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метально-уборочную машину, с момента выпуска которой прошло не более 3-х лет, представляющую собой четырехколесное транспортное средство специальной конструкции, состоящее из двигателя, коробки передач и органов управления переключением передач, рулевых и тормозных устройств, и предназначенную для общественных работ по уборке городских дорог и улиц, автострад с увлажнением подметаемой поверхности и поглощением пыли, с транспортированием смета в бункер для мусора и его механизированной разгрузки, классифицировать в подсубпозиции 8705 90 800 5 единой Товарной номенклатуры внешнеэкономической деятельности Евразийского экономического союза в соответствии с Основными правилами интерпретации Товарной номенклатуры внешнеэкономической деятельности 1 и 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