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af75" w14:textId="780a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экспертной подгруппы по унификации законодательства государств-членов Таможенного союза в сфере применения мер административной или уголовной ответственности за незаконный оборот драгоценных металлов и драгоценных камней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708.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в рамках экспертной группы "По вопросам применения запретов и ограничений неэкономического характера во взаимной торговле государств-членов Таможенного союза" подгруппу по унификации законодательства государств-членов Таможенного союза в сфере применения мер административной или уголовной ответственности за незаконный оборот драгоценных металлов и драгоценных камней на таможенной территории Таможенного союза и при торговле с третьими странами.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до 1 сентября 2011 года представить в Секретариат Комиссии Таможенного союза кандидатуры в состав экспертной подгруппы, указанной в пункте 1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