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1945" w14:textId="9c81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защите экономических интересов производителей подшипников качения в Таможенном союзе</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22 июня 2011 года № 705. Срок действия приказа - до 17 сентября 2013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Срок действия приказа - до 17.09.2013 (</w:t>
      </w:r>
      <w:r>
        <w:rPr>
          <w:rFonts w:ascii="Times New Roman"/>
          <w:b w:val="false"/>
          <w:i w:val="false"/>
          <w:color w:val="ff0000"/>
          <w:sz w:val="28"/>
        </w:rPr>
        <w:t>п. 1</w:t>
      </w:r>
      <w:r>
        <w:rPr>
          <w:rFonts w:ascii="Times New Roman"/>
          <w:b w:val="false"/>
          <w:i w:val="false"/>
          <w:color w:val="ff0000"/>
          <w:sz w:val="28"/>
        </w:rPr>
        <w:t xml:space="preserve"> приказа).</w:t>
      </w:r>
    </w:p>
    <w:bookmarkStart w:name="z1" w:id="0"/>
    <w:p>
      <w:pPr>
        <w:spacing w:after="0"/>
        <w:ind w:left="0"/>
        <w:jc w:val="both"/>
      </w:pPr>
      <w:r>
        <w:rPr>
          <w:rFonts w:ascii="Times New Roman"/>
          <w:b w:val="false"/>
          <w:i w:val="false"/>
          <w:color w:val="000000"/>
          <w:sz w:val="28"/>
        </w:rPr>
        <w:t xml:space="preserve">
      В соответствии с Соглашением о порядке применения специальных защитных, антидемпинговых и компенсационных мер в течение переходного периода от 19 ноября 2010 года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Установить сроком по 17 сентября 2013 г. включительно антидемпинговую пошлину в размерах согласно Приложению к настоящему Решению, в отношении ввозимых на единую таможенную территорию Таможенного союза товаров, происходящих из Китайской Народной Республики (включая Тайвань и специальные административные районы Китая Гонконг и Макао), классифицируемых кодами 8482 10 100 1, 8482 10 100 2, 8482 10 100 9, 8482 10 900 1, 8482 10 900 2, 8482 10 900 3, 8482 10 900 8, 8482 20 000 1, 8482 20 000 2, 8482 20 000 9, 8482 30 000 1, 8482 30 000 9, 8482 50 000 1, 8482 50 000 2, 8482 50 000 9, 8482 80 000 1, 8482 80 000 2, 8482 80 000 9, 8482 91 100 0, 8482 91 900 0, 8482 99 000 0 ТН ВЭД ТС.</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04.12.2012 </w:t>
      </w:r>
      <w:r>
        <w:rPr>
          <w:rFonts w:ascii="Times New Roman"/>
          <w:b w:val="false"/>
          <w:i w:val="false"/>
          <w:color w:val="000000"/>
          <w:sz w:val="28"/>
        </w:rPr>
        <w:t>№ 244</w:t>
      </w:r>
      <w:r>
        <w:rPr>
          <w:rFonts w:ascii="Times New Roman"/>
          <w:b w:val="false"/>
          <w:i w:val="false"/>
          <w:color w:val="ff0000"/>
          <w:sz w:val="28"/>
        </w:rPr>
        <w:t xml:space="preserve"> (вступает в силу 21.01.2013).</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Государственному таможенному комитету Республики Беларусь, Комитету таможенного контроля Министерства финансов Республики Казахстан, Федеральной таможенной службе обеспечить взимание антидемпинговой пошлины, установленной настоящим Решением.</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22 июня 2011 г. № 705</w:t>
            </w:r>
          </w:p>
        </w:tc>
      </w:tr>
    </w:tbl>
    <w:bookmarkStart w:name="z6" w:id="3"/>
    <w:p>
      <w:pPr>
        <w:spacing w:after="0"/>
        <w:ind w:left="0"/>
        <w:jc w:val="left"/>
      </w:pPr>
      <w:r>
        <w:rPr>
          <w:rFonts w:ascii="Times New Roman"/>
          <w:b/>
          <w:i w:val="false"/>
          <w:color w:val="000000"/>
        </w:rPr>
        <w:t xml:space="preserve"> РАЗМЕРЫ СТАВОК</w:t>
      </w:r>
      <w:r>
        <w:br/>
      </w:r>
      <w:r>
        <w:rPr>
          <w:rFonts w:ascii="Times New Roman"/>
          <w:b/>
          <w:i w:val="false"/>
          <w:color w:val="000000"/>
        </w:rPr>
        <w:t>антидемпинговой пошлины на подшипники качения, страной</w:t>
      </w:r>
      <w:r>
        <w:br/>
      </w:r>
      <w:r>
        <w:rPr>
          <w:rFonts w:ascii="Times New Roman"/>
          <w:b/>
          <w:i w:val="false"/>
          <w:color w:val="000000"/>
        </w:rPr>
        <w:t>происхождения которых являются Китайская Народная Республика</w:t>
      </w:r>
      <w:r>
        <w:br/>
      </w:r>
      <w:r>
        <w:rPr>
          <w:rFonts w:ascii="Times New Roman"/>
          <w:b/>
          <w:i w:val="false"/>
          <w:color w:val="000000"/>
        </w:rPr>
        <w:t>(включая Тайвань и специальные административные районы Китая</w:t>
      </w:r>
      <w:r>
        <w:br/>
      </w:r>
      <w:r>
        <w:rPr>
          <w:rFonts w:ascii="Times New Roman"/>
          <w:b/>
          <w:i w:val="false"/>
          <w:color w:val="000000"/>
        </w:rPr>
        <w:t>Гонконг и Макао)</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ТН ВЭД 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изготовитель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w:t>
            </w:r>
          </w:p>
          <w:p>
            <w:pPr>
              <w:spacing w:after="20"/>
              <w:ind w:left="20"/>
              <w:jc w:val="both"/>
            </w:pPr>
            <w:r>
              <w:rPr>
                <w:rFonts w:ascii="Times New Roman"/>
                <w:b w:val="false"/>
                <w:i w:val="false"/>
                <w:color w:val="000000"/>
                <w:sz w:val="20"/>
              </w:rPr>
              <w:t>
антидемпинговой</w:t>
            </w:r>
          </w:p>
          <w:p>
            <w:pPr>
              <w:spacing w:after="20"/>
              <w:ind w:left="20"/>
              <w:jc w:val="both"/>
            </w:pPr>
            <w:r>
              <w:rPr>
                <w:rFonts w:ascii="Times New Roman"/>
                <w:b w:val="false"/>
                <w:i w:val="false"/>
                <w:color w:val="000000"/>
                <w:sz w:val="20"/>
              </w:rPr>
              <w:t>
пошлины</w:t>
            </w:r>
          </w:p>
          <w:p>
            <w:pPr>
              <w:spacing w:after="20"/>
              <w:ind w:left="20"/>
              <w:jc w:val="both"/>
            </w:pPr>
            <w:r>
              <w:rPr>
                <w:rFonts w:ascii="Times New Roman"/>
                <w:b w:val="false"/>
                <w:i w:val="false"/>
                <w:color w:val="000000"/>
                <w:sz w:val="20"/>
              </w:rPr>
              <w:t>
(процентов</w:t>
            </w:r>
          </w:p>
          <w:p>
            <w:pPr>
              <w:spacing w:after="20"/>
              <w:ind w:left="20"/>
              <w:jc w:val="both"/>
            </w:pPr>
            <w:r>
              <w:rPr>
                <w:rFonts w:ascii="Times New Roman"/>
                <w:b w:val="false"/>
                <w:i w:val="false"/>
                <w:color w:val="000000"/>
                <w:sz w:val="20"/>
              </w:rPr>
              <w:t>
от таможенной</w:t>
            </w:r>
          </w:p>
          <w:p>
            <w:pPr>
              <w:spacing w:after="20"/>
              <w:ind w:left="20"/>
              <w:jc w:val="both"/>
            </w:pPr>
            <w:r>
              <w:rPr>
                <w:rFonts w:ascii="Times New Roman"/>
                <w:b w:val="false"/>
                <w:i w:val="false"/>
                <w:color w:val="000000"/>
                <w:sz w:val="20"/>
              </w:rPr>
              <w:t>
стоимости)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8482 10 100 1, 8482 10 100 2,</w:t>
            </w:r>
          </w:p>
          <w:p>
            <w:pPr>
              <w:spacing w:after="20"/>
              <w:ind w:left="20"/>
              <w:jc w:val="both"/>
            </w:pPr>
            <w:r>
              <w:rPr>
                <w:rFonts w:ascii="Times New Roman"/>
                <w:b w:val="false"/>
                <w:i w:val="false"/>
                <w:color w:val="000000"/>
                <w:sz w:val="20"/>
              </w:rPr>
              <w:t>
8482 10 100 9, 8482 10 900 1,</w:t>
            </w:r>
          </w:p>
          <w:p>
            <w:pPr>
              <w:spacing w:after="20"/>
              <w:ind w:left="20"/>
              <w:jc w:val="both"/>
            </w:pPr>
            <w:r>
              <w:rPr>
                <w:rFonts w:ascii="Times New Roman"/>
                <w:b w:val="false"/>
                <w:i w:val="false"/>
                <w:color w:val="000000"/>
                <w:sz w:val="20"/>
              </w:rPr>
              <w:t>
8482 10 900 2, 8482 10 900 3,</w:t>
            </w:r>
          </w:p>
          <w:p>
            <w:pPr>
              <w:spacing w:after="20"/>
              <w:ind w:left="20"/>
              <w:jc w:val="both"/>
            </w:pPr>
            <w:r>
              <w:rPr>
                <w:rFonts w:ascii="Times New Roman"/>
                <w:b w:val="false"/>
                <w:i w:val="false"/>
                <w:color w:val="000000"/>
                <w:sz w:val="20"/>
              </w:rPr>
              <w:t>
8482 10 900 8, 8482 20 000 1,</w:t>
            </w:r>
          </w:p>
          <w:p>
            <w:pPr>
              <w:spacing w:after="20"/>
              <w:ind w:left="20"/>
              <w:jc w:val="both"/>
            </w:pPr>
            <w:r>
              <w:rPr>
                <w:rFonts w:ascii="Times New Roman"/>
                <w:b w:val="false"/>
                <w:i w:val="false"/>
                <w:color w:val="000000"/>
                <w:sz w:val="20"/>
              </w:rPr>
              <w:t>
8482 20 000 2, 8482 20 000 9,</w:t>
            </w:r>
          </w:p>
          <w:p>
            <w:pPr>
              <w:spacing w:after="20"/>
              <w:ind w:left="20"/>
              <w:jc w:val="both"/>
            </w:pPr>
            <w:r>
              <w:rPr>
                <w:rFonts w:ascii="Times New Roman"/>
                <w:b w:val="false"/>
                <w:i w:val="false"/>
                <w:color w:val="000000"/>
                <w:sz w:val="20"/>
              </w:rPr>
              <w:t>
8482 30 000 1, 8482 30 000 9,</w:t>
            </w:r>
          </w:p>
          <w:p>
            <w:pPr>
              <w:spacing w:after="20"/>
              <w:ind w:left="20"/>
              <w:jc w:val="both"/>
            </w:pPr>
            <w:r>
              <w:rPr>
                <w:rFonts w:ascii="Times New Roman"/>
                <w:b w:val="false"/>
                <w:i w:val="false"/>
                <w:color w:val="000000"/>
                <w:sz w:val="20"/>
              </w:rPr>
              <w:t>
8482 50 000 1, 8482 50 000 2,</w:t>
            </w:r>
          </w:p>
          <w:p>
            <w:pPr>
              <w:spacing w:after="20"/>
              <w:ind w:left="20"/>
              <w:jc w:val="both"/>
            </w:pPr>
            <w:r>
              <w:rPr>
                <w:rFonts w:ascii="Times New Roman"/>
                <w:b w:val="false"/>
                <w:i w:val="false"/>
                <w:color w:val="000000"/>
                <w:sz w:val="20"/>
              </w:rPr>
              <w:t>
8482 50 000 9, 8482 80 000 1,</w:t>
            </w:r>
          </w:p>
          <w:p>
            <w:pPr>
              <w:spacing w:after="20"/>
              <w:ind w:left="20"/>
              <w:jc w:val="both"/>
            </w:pPr>
            <w:r>
              <w:rPr>
                <w:rFonts w:ascii="Times New Roman"/>
                <w:b w:val="false"/>
                <w:i w:val="false"/>
                <w:color w:val="000000"/>
                <w:sz w:val="20"/>
              </w:rPr>
              <w:t>
8482 80 000 2, 8482 80 000 9,</w:t>
            </w:r>
          </w:p>
          <w:p>
            <w:pPr>
              <w:spacing w:after="20"/>
              <w:ind w:left="20"/>
              <w:jc w:val="both"/>
            </w:pPr>
            <w:r>
              <w:rPr>
                <w:rFonts w:ascii="Times New Roman"/>
                <w:b w:val="false"/>
                <w:i w:val="false"/>
                <w:color w:val="000000"/>
                <w:sz w:val="20"/>
              </w:rPr>
              <w:t>
8482 91 100 0, 8482 91 900 0,8482 99 000 0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"Подшипники</w:t>
            </w:r>
          </w:p>
          <w:p>
            <w:pPr>
              <w:spacing w:after="20"/>
              <w:ind w:left="20"/>
              <w:jc w:val="both"/>
            </w:pPr>
            <w:r>
              <w:rPr>
                <w:rFonts w:ascii="Times New Roman"/>
                <w:b w:val="false"/>
                <w:i w:val="false"/>
                <w:color w:val="000000"/>
                <w:sz w:val="20"/>
              </w:rPr>
              <w:t>
качения Уси"</w:t>
            </w:r>
          </w:p>
          <w:p>
            <w:pPr>
              <w:spacing w:after="20"/>
              <w:ind w:left="20"/>
              <w:jc w:val="both"/>
            </w:pPr>
            <w:r>
              <w:rPr>
                <w:rFonts w:ascii="Times New Roman"/>
                <w:b w:val="false"/>
                <w:i w:val="false"/>
                <w:color w:val="000000"/>
                <w:sz w:val="20"/>
              </w:rPr>
              <w:t>
(Китайская Народная</w:t>
            </w:r>
          </w:p>
          <w:p>
            <w:pPr>
              <w:spacing w:after="20"/>
              <w:ind w:left="20"/>
              <w:jc w:val="both"/>
            </w:pPr>
            <w:r>
              <w:rPr>
                <w:rFonts w:ascii="Times New Roman"/>
                <w:b w:val="false"/>
                <w:i w:val="false"/>
                <w:color w:val="000000"/>
                <w:sz w:val="20"/>
              </w:rPr>
              <w:t>
Республика, г. Уси,</w:t>
            </w:r>
          </w:p>
          <w:p>
            <w:pPr>
              <w:spacing w:after="20"/>
              <w:ind w:left="20"/>
              <w:jc w:val="both"/>
            </w:pPr>
            <w:r>
              <w:rPr>
                <w:rFonts w:ascii="Times New Roman"/>
                <w:b w:val="false"/>
                <w:i w:val="false"/>
                <w:color w:val="000000"/>
                <w:sz w:val="20"/>
              </w:rPr>
              <w:t>
промышленный район</w:t>
            </w:r>
          </w:p>
          <w:p>
            <w:pPr>
              <w:spacing w:after="20"/>
              <w:ind w:left="20"/>
              <w:jc w:val="both"/>
            </w:pPr>
            <w:r>
              <w:rPr>
                <w:rFonts w:ascii="Times New Roman"/>
                <w:b w:val="false"/>
                <w:i w:val="false"/>
                <w:color w:val="000000"/>
                <w:sz w:val="20"/>
              </w:rPr>
              <w:t>
Шуофанг,</w:t>
            </w:r>
          </w:p>
          <w:p>
            <w:pPr>
              <w:spacing w:after="20"/>
              <w:ind w:left="20"/>
              <w:jc w:val="both"/>
            </w:pPr>
            <w:r>
              <w:rPr>
                <w:rFonts w:ascii="Times New Roman"/>
                <w:b w:val="false"/>
                <w:i w:val="false"/>
                <w:color w:val="000000"/>
                <w:sz w:val="20"/>
              </w:rPr>
              <w:t>
8-я улица Чженьфа,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