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d7856" w14:textId="78d78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Требований к инструкции по медицинскому применению лекарственных средств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Комиссии таможенного союза от 19 мая 2011 года № 647. Утратило силу решением Коллегии Евразийской экономической комиссии от 20 ноября 2018 года № 186.</w:t>
      </w:r>
    </w:p>
    <w:p>
      <w:pPr>
        <w:spacing w:after="0"/>
        <w:ind w:left="0"/>
        <w:jc w:val="both"/>
      </w:pPr>
      <w:r>
        <w:rPr>
          <w:rFonts w:ascii="Times New Roman"/>
          <w:b w:val="false"/>
          <w:i w:val="false"/>
          <w:color w:val="ff0000"/>
          <w:sz w:val="28"/>
        </w:rPr>
        <w:t xml:space="preserve">
      Сноска. Утратило силу решением Коллегии Евразийской экономической комиссии от 20.11.2018 </w:t>
      </w:r>
      <w:r>
        <w:rPr>
          <w:rFonts w:ascii="Times New Roman"/>
          <w:b w:val="false"/>
          <w:i w:val="false"/>
          <w:color w:val="ff0000"/>
          <w:sz w:val="28"/>
        </w:rPr>
        <w:t>№ 186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 w:id="0"/>
    <w:p>
      <w:pPr>
        <w:spacing w:after="0"/>
        <w:ind w:left="0"/>
        <w:jc w:val="both"/>
      </w:pPr>
      <w:r>
        <w:rPr>
          <w:rFonts w:ascii="Times New Roman"/>
          <w:b w:val="false"/>
          <w:i w:val="false"/>
          <w:color w:val="000000"/>
          <w:sz w:val="28"/>
        </w:rPr>
        <w:t xml:space="preserve">
      Комиссия Таможенного союза </w:t>
      </w:r>
      <w:r>
        <w:rPr>
          <w:rFonts w:ascii="Times New Roman"/>
          <w:b/>
          <w:i w:val="false"/>
          <w:color w:val="000000"/>
          <w:sz w:val="28"/>
        </w:rPr>
        <w:t>решила:</w:t>
      </w:r>
    </w:p>
    <w:bookmarkEnd w:id="0"/>
    <w:bookmarkStart w:name="z2" w:id="1"/>
    <w:p>
      <w:pPr>
        <w:spacing w:after="0"/>
        <w:ind w:left="0"/>
        <w:jc w:val="both"/>
      </w:pPr>
      <w:r>
        <w:rPr>
          <w:rFonts w:ascii="Times New Roman"/>
          <w:b w:val="false"/>
          <w:i w:val="false"/>
          <w:color w:val="000000"/>
          <w:sz w:val="28"/>
        </w:rPr>
        <w:t xml:space="preserve">
      1. Одобрить в основном проект </w:t>
      </w:r>
      <w:r>
        <w:rPr>
          <w:rFonts w:ascii="Times New Roman"/>
          <w:b w:val="false"/>
          <w:i w:val="false"/>
          <w:color w:val="000000"/>
          <w:sz w:val="28"/>
        </w:rPr>
        <w:t>Требований к инструкции</w:t>
      </w:r>
      <w:r>
        <w:rPr>
          <w:rFonts w:ascii="Times New Roman"/>
          <w:b w:val="false"/>
          <w:i w:val="false"/>
          <w:color w:val="000000"/>
          <w:sz w:val="28"/>
        </w:rPr>
        <w:t xml:space="preserve"> по медицинскому применению лекарственных средств (прилагается).</w:t>
      </w:r>
    </w:p>
    <w:bookmarkEnd w:id="1"/>
    <w:bookmarkStart w:name="z3" w:id="2"/>
    <w:p>
      <w:pPr>
        <w:spacing w:after="0"/>
        <w:ind w:left="0"/>
        <w:jc w:val="both"/>
      </w:pPr>
      <w:r>
        <w:rPr>
          <w:rFonts w:ascii="Times New Roman"/>
          <w:b w:val="false"/>
          <w:i w:val="false"/>
          <w:color w:val="000000"/>
          <w:sz w:val="28"/>
        </w:rPr>
        <w:t>
      2. Просить Стороны:</w:t>
      </w:r>
    </w:p>
    <w:bookmarkEnd w:id="2"/>
    <w:bookmarkStart w:name="z4" w:id="3"/>
    <w:p>
      <w:pPr>
        <w:spacing w:after="0"/>
        <w:ind w:left="0"/>
        <w:jc w:val="both"/>
      </w:pPr>
      <w:r>
        <w:rPr>
          <w:rFonts w:ascii="Times New Roman"/>
          <w:b w:val="false"/>
          <w:i w:val="false"/>
          <w:color w:val="000000"/>
          <w:sz w:val="28"/>
        </w:rPr>
        <w:t>
      2.1. Разместить документ, указанный в пункте 1 настоящего Решения, на официальных сайтах министерств здравоохранения Сторон.</w:t>
      </w:r>
    </w:p>
    <w:bookmarkEnd w:id="3"/>
    <w:bookmarkStart w:name="z5" w:id="4"/>
    <w:p>
      <w:pPr>
        <w:spacing w:after="0"/>
        <w:ind w:left="0"/>
        <w:jc w:val="both"/>
      </w:pPr>
      <w:r>
        <w:rPr>
          <w:rFonts w:ascii="Times New Roman"/>
          <w:b w:val="false"/>
          <w:i w:val="false"/>
          <w:color w:val="000000"/>
          <w:sz w:val="28"/>
        </w:rPr>
        <w:t>
      2.2. Провести внутригосударственное согласование документа, указанного в пункте 1 настоящего Решения, по итогам которого в срок до 15 ноября 2011 года представить информацию в Секретариат Комиссии Таможенного союза.</w:t>
      </w:r>
    </w:p>
    <w:bookmarkEnd w:id="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Члены Комиссии Таможенного союза: </w:t>
      </w:r>
    </w:p>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Российской 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С. </w:t>
            </w:r>
            <w:r>
              <w:rPr>
                <w:rFonts w:ascii="Times New Roman"/>
                <w:b w:val="false"/>
                <w:i/>
                <w:color w:val="000000"/>
                <w:sz w:val="20"/>
              </w:rPr>
              <w:t>Румас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У. </w:t>
            </w:r>
            <w:r>
              <w:rPr>
                <w:rFonts w:ascii="Times New Roman"/>
                <w:b w:val="false"/>
                <w:i/>
                <w:color w:val="000000"/>
                <w:sz w:val="20"/>
              </w:rPr>
              <w:t>Шукеев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 Шувалов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Комиссии Таможенного союза</w:t>
            </w:r>
            <w:r>
              <w:br/>
            </w:r>
            <w:r>
              <w:rPr>
                <w:rFonts w:ascii="Times New Roman"/>
                <w:b w:val="false"/>
                <w:i w:val="false"/>
                <w:color w:val="000000"/>
                <w:sz w:val="20"/>
              </w:rPr>
              <w:t>от 19 мая 2011 года № 647</w:t>
            </w:r>
          </w:p>
        </w:tc>
      </w:tr>
    </w:tbl>
    <w:bookmarkStart w:name="z8" w:id="5"/>
    <w:p>
      <w:pPr>
        <w:spacing w:after="0"/>
        <w:ind w:left="0"/>
        <w:jc w:val="left"/>
      </w:pPr>
      <w:r>
        <w:rPr>
          <w:rFonts w:ascii="Times New Roman"/>
          <w:b/>
          <w:i w:val="false"/>
          <w:color w:val="000000"/>
        </w:rPr>
        <w:t xml:space="preserve"> ТРЕБОВАНИЯ К ИНСТРУКЦИИ ПО МЕДИЦИНСКОМУ ПРИМЕНЕНИЮ</w:t>
      </w:r>
      <w:r>
        <w:br/>
      </w:r>
      <w:r>
        <w:rPr>
          <w:rFonts w:ascii="Times New Roman"/>
          <w:b/>
          <w:i w:val="false"/>
          <w:color w:val="000000"/>
        </w:rPr>
        <w:t>ЛЕКАРСТВЕННЫХ СРЕДСТВ</w:t>
      </w:r>
      <w:r>
        <w:br/>
      </w:r>
      <w:r>
        <w:rPr>
          <w:rFonts w:ascii="Times New Roman"/>
          <w:b/>
          <w:i w:val="false"/>
          <w:color w:val="000000"/>
        </w:rPr>
        <w:t>ОГЛАВЛЕНИЕ</w:t>
      </w:r>
    </w:p>
    <w:bookmarkEnd w:id="5"/>
    <w:bookmarkStart w:name="z10" w:id="6"/>
    <w:p>
      <w:pPr>
        <w:spacing w:after="0"/>
        <w:ind w:left="0"/>
        <w:jc w:val="both"/>
      </w:pPr>
      <w:r>
        <w:rPr>
          <w:rFonts w:ascii="Times New Roman"/>
          <w:b w:val="false"/>
          <w:i w:val="false"/>
          <w:color w:val="000000"/>
          <w:sz w:val="28"/>
        </w:rPr>
        <w:t>
      Список сокращений</w:t>
      </w:r>
    </w:p>
    <w:bookmarkEnd w:id="6"/>
    <w:bookmarkStart w:name="z11" w:id="7"/>
    <w:p>
      <w:pPr>
        <w:spacing w:after="0"/>
        <w:ind w:left="0"/>
        <w:jc w:val="both"/>
      </w:pPr>
      <w:r>
        <w:rPr>
          <w:rFonts w:ascii="Times New Roman"/>
          <w:b w:val="false"/>
          <w:i w:val="false"/>
          <w:color w:val="000000"/>
          <w:sz w:val="28"/>
        </w:rPr>
        <w:t>
      1. Общие требования к инструкции по медицинскому применению лекарственных средств</w:t>
      </w:r>
    </w:p>
    <w:bookmarkEnd w:id="7"/>
    <w:bookmarkStart w:name="z12" w:id="8"/>
    <w:p>
      <w:pPr>
        <w:spacing w:after="0"/>
        <w:ind w:left="0"/>
        <w:jc w:val="both"/>
      </w:pPr>
      <w:r>
        <w:rPr>
          <w:rFonts w:ascii="Times New Roman"/>
          <w:b w:val="false"/>
          <w:i w:val="false"/>
          <w:color w:val="000000"/>
          <w:sz w:val="28"/>
        </w:rPr>
        <w:t>
      2. Общие требования к оформлению инструкции по медицинскому применению лекарственных средств</w:t>
      </w:r>
    </w:p>
    <w:bookmarkEnd w:id="8"/>
    <w:bookmarkStart w:name="z13" w:id="9"/>
    <w:p>
      <w:pPr>
        <w:spacing w:after="0"/>
        <w:ind w:left="0"/>
        <w:jc w:val="both"/>
      </w:pPr>
      <w:r>
        <w:rPr>
          <w:rFonts w:ascii="Times New Roman"/>
          <w:b w:val="false"/>
          <w:i w:val="false"/>
          <w:color w:val="000000"/>
          <w:sz w:val="28"/>
        </w:rPr>
        <w:t>
      3. Требования к построению и изложению текста инструкции по медицинскому применению лекарственных средств</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Примеры группировочных названий для классификации нежелательных побочных реакций по системам организма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Классификация нежелательных побочных реакций в соответствии с поражением органов и систем органов (медицинского словаря для нормативно-правовой деятельности MedDRA)</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Классификация нежелательных побочных реакций по частоте развития (ВОЗ) </w:t>
      </w:r>
    </w:p>
    <w:bookmarkStart w:name="z17" w:id="10"/>
    <w:p>
      <w:pPr>
        <w:spacing w:after="0"/>
        <w:ind w:left="0"/>
        <w:jc w:val="left"/>
      </w:pPr>
      <w:r>
        <w:rPr>
          <w:rFonts w:ascii="Times New Roman"/>
          <w:b/>
          <w:i w:val="false"/>
          <w:color w:val="000000"/>
        </w:rPr>
        <w:t xml:space="preserve"> СПИСОК СОКРАЩЕНИЙ:</w:t>
      </w:r>
    </w:p>
    <w:bookmarkEnd w:id="10"/>
    <w:bookmarkStart w:name="z18" w:id="11"/>
    <w:p>
      <w:pPr>
        <w:spacing w:after="0"/>
        <w:ind w:left="0"/>
        <w:jc w:val="both"/>
      </w:pPr>
      <w:r>
        <w:rPr>
          <w:rFonts w:ascii="Times New Roman"/>
          <w:b w:val="false"/>
          <w:i w:val="false"/>
          <w:color w:val="000000"/>
          <w:sz w:val="28"/>
        </w:rPr>
        <w:t>
      АТХ - анатомо-терапевтическо-химическая (классификация)</w:t>
      </w:r>
    </w:p>
    <w:bookmarkEnd w:id="11"/>
    <w:bookmarkStart w:name="z19" w:id="12"/>
    <w:p>
      <w:pPr>
        <w:spacing w:after="0"/>
        <w:ind w:left="0"/>
        <w:jc w:val="both"/>
      </w:pPr>
      <w:r>
        <w:rPr>
          <w:rFonts w:ascii="Times New Roman"/>
          <w:b w:val="false"/>
          <w:i w:val="false"/>
          <w:color w:val="000000"/>
          <w:sz w:val="28"/>
        </w:rPr>
        <w:t>
      в т.ч. - в том числе</w:t>
      </w:r>
    </w:p>
    <w:bookmarkEnd w:id="12"/>
    <w:bookmarkStart w:name="z20" w:id="13"/>
    <w:p>
      <w:pPr>
        <w:spacing w:after="0"/>
        <w:ind w:left="0"/>
        <w:jc w:val="both"/>
      </w:pPr>
      <w:r>
        <w:rPr>
          <w:rFonts w:ascii="Times New Roman"/>
          <w:b w:val="false"/>
          <w:i w:val="false"/>
          <w:color w:val="000000"/>
          <w:sz w:val="28"/>
        </w:rPr>
        <w:t>
      ВОЗ - Всемирная организация здравоохранения</w:t>
      </w:r>
    </w:p>
    <w:bookmarkEnd w:id="13"/>
    <w:bookmarkStart w:name="z21" w:id="14"/>
    <w:p>
      <w:pPr>
        <w:spacing w:after="0"/>
        <w:ind w:left="0"/>
        <w:jc w:val="both"/>
      </w:pPr>
      <w:r>
        <w:rPr>
          <w:rFonts w:ascii="Times New Roman"/>
          <w:b w:val="false"/>
          <w:i w:val="false"/>
          <w:color w:val="000000"/>
          <w:sz w:val="28"/>
        </w:rPr>
        <w:t>
      ДНК - дезоксирибонуклеиновая кислота</w:t>
      </w:r>
    </w:p>
    <w:bookmarkEnd w:id="14"/>
    <w:bookmarkStart w:name="z22" w:id="15"/>
    <w:p>
      <w:pPr>
        <w:spacing w:after="0"/>
        <w:ind w:left="0"/>
        <w:jc w:val="both"/>
      </w:pPr>
      <w:r>
        <w:rPr>
          <w:rFonts w:ascii="Times New Roman"/>
          <w:b w:val="false"/>
          <w:i w:val="false"/>
          <w:color w:val="000000"/>
          <w:sz w:val="28"/>
        </w:rPr>
        <w:t>
      др. - другие (-ой,-ая)</w:t>
      </w:r>
    </w:p>
    <w:bookmarkEnd w:id="15"/>
    <w:bookmarkStart w:name="z23" w:id="16"/>
    <w:p>
      <w:pPr>
        <w:spacing w:after="0"/>
        <w:ind w:left="0"/>
        <w:jc w:val="both"/>
      </w:pPr>
      <w:r>
        <w:rPr>
          <w:rFonts w:ascii="Times New Roman"/>
          <w:b w:val="false"/>
          <w:i w:val="false"/>
          <w:color w:val="000000"/>
          <w:sz w:val="28"/>
        </w:rPr>
        <w:t>
      ЖКТ - желудочно-кишечный тракт</w:t>
      </w:r>
    </w:p>
    <w:bookmarkEnd w:id="16"/>
    <w:bookmarkStart w:name="z24" w:id="17"/>
    <w:p>
      <w:pPr>
        <w:spacing w:after="0"/>
        <w:ind w:left="0"/>
        <w:jc w:val="both"/>
      </w:pPr>
      <w:r>
        <w:rPr>
          <w:rFonts w:ascii="Times New Roman"/>
          <w:b w:val="false"/>
          <w:i w:val="false"/>
          <w:color w:val="000000"/>
          <w:sz w:val="28"/>
        </w:rPr>
        <w:t>
      и т.д. - и так далее</w:t>
      </w:r>
    </w:p>
    <w:bookmarkEnd w:id="17"/>
    <w:bookmarkStart w:name="z25" w:id="18"/>
    <w:p>
      <w:pPr>
        <w:spacing w:after="0"/>
        <w:ind w:left="0"/>
        <w:jc w:val="both"/>
      </w:pPr>
      <w:r>
        <w:rPr>
          <w:rFonts w:ascii="Times New Roman"/>
          <w:b w:val="false"/>
          <w:i w:val="false"/>
          <w:color w:val="000000"/>
          <w:sz w:val="28"/>
        </w:rPr>
        <w:t>
      ЛП - лекарственный препарат</w:t>
      </w:r>
    </w:p>
    <w:bookmarkEnd w:id="18"/>
    <w:bookmarkStart w:name="z26" w:id="19"/>
    <w:p>
      <w:pPr>
        <w:spacing w:after="0"/>
        <w:ind w:left="0"/>
        <w:jc w:val="both"/>
      </w:pPr>
      <w:r>
        <w:rPr>
          <w:rFonts w:ascii="Times New Roman"/>
          <w:b w:val="false"/>
          <w:i w:val="false"/>
          <w:color w:val="000000"/>
          <w:sz w:val="28"/>
        </w:rPr>
        <w:t>
      МБк - мегабеккерель</w:t>
      </w:r>
    </w:p>
    <w:bookmarkEnd w:id="19"/>
    <w:bookmarkStart w:name="z27" w:id="20"/>
    <w:p>
      <w:pPr>
        <w:spacing w:after="0"/>
        <w:ind w:left="0"/>
        <w:jc w:val="both"/>
      </w:pPr>
      <w:r>
        <w:rPr>
          <w:rFonts w:ascii="Times New Roman"/>
          <w:b w:val="false"/>
          <w:i w:val="false"/>
          <w:color w:val="000000"/>
          <w:sz w:val="28"/>
        </w:rPr>
        <w:t>
      мГр - миллигрей</w:t>
      </w:r>
    </w:p>
    <w:bookmarkEnd w:id="20"/>
    <w:bookmarkStart w:name="z28" w:id="21"/>
    <w:p>
      <w:pPr>
        <w:spacing w:after="0"/>
        <w:ind w:left="0"/>
        <w:jc w:val="both"/>
      </w:pPr>
      <w:r>
        <w:rPr>
          <w:rFonts w:ascii="Times New Roman"/>
          <w:b w:val="false"/>
          <w:i w:val="false"/>
          <w:color w:val="000000"/>
          <w:sz w:val="28"/>
        </w:rPr>
        <w:t>
      мЗв - миллизиверт</w:t>
      </w:r>
    </w:p>
    <w:bookmarkEnd w:id="21"/>
    <w:bookmarkStart w:name="z29" w:id="22"/>
    <w:p>
      <w:pPr>
        <w:spacing w:after="0"/>
        <w:ind w:left="0"/>
        <w:jc w:val="both"/>
      </w:pPr>
      <w:r>
        <w:rPr>
          <w:rFonts w:ascii="Times New Roman"/>
          <w:b w:val="false"/>
          <w:i w:val="false"/>
          <w:color w:val="000000"/>
          <w:sz w:val="28"/>
        </w:rPr>
        <w:t>
      МКБ - Международная статистическая классификация болезней и</w:t>
      </w:r>
    </w:p>
    <w:bookmarkEnd w:id="22"/>
    <w:bookmarkStart w:name="z30" w:id="23"/>
    <w:p>
      <w:pPr>
        <w:spacing w:after="0"/>
        <w:ind w:left="0"/>
        <w:jc w:val="both"/>
      </w:pPr>
      <w:r>
        <w:rPr>
          <w:rFonts w:ascii="Times New Roman"/>
          <w:b w:val="false"/>
          <w:i w:val="false"/>
          <w:color w:val="000000"/>
          <w:sz w:val="28"/>
        </w:rPr>
        <w:t>
      проблем, связанных со здоровьем</w:t>
      </w:r>
    </w:p>
    <w:bookmarkEnd w:id="23"/>
    <w:bookmarkStart w:name="z6" w:id="24"/>
    <w:p>
      <w:pPr>
        <w:spacing w:after="0"/>
        <w:ind w:left="0"/>
        <w:jc w:val="both"/>
      </w:pPr>
      <w:r>
        <w:rPr>
          <w:rFonts w:ascii="Times New Roman"/>
          <w:b w:val="false"/>
          <w:i w:val="false"/>
          <w:color w:val="000000"/>
          <w:sz w:val="28"/>
        </w:rPr>
        <w:t>
      МНН - международное непатентованное название/наименование</w:t>
      </w:r>
    </w:p>
    <w:bookmarkEnd w:id="24"/>
    <w:bookmarkStart w:name="z31" w:id="25"/>
    <w:p>
      <w:pPr>
        <w:spacing w:after="0"/>
        <w:ind w:left="0"/>
        <w:jc w:val="both"/>
      </w:pPr>
      <w:r>
        <w:rPr>
          <w:rFonts w:ascii="Times New Roman"/>
          <w:b w:val="false"/>
          <w:i w:val="false"/>
          <w:color w:val="000000"/>
          <w:sz w:val="28"/>
        </w:rPr>
        <w:t>
      НПР - нежелательная побочная реакция</w:t>
      </w:r>
    </w:p>
    <w:bookmarkEnd w:id="25"/>
    <w:bookmarkStart w:name="z32" w:id="26"/>
    <w:p>
      <w:pPr>
        <w:spacing w:after="0"/>
        <w:ind w:left="0"/>
        <w:jc w:val="both"/>
      </w:pPr>
      <w:r>
        <w:rPr>
          <w:rFonts w:ascii="Times New Roman"/>
          <w:b w:val="false"/>
          <w:i w:val="false"/>
          <w:color w:val="000000"/>
          <w:sz w:val="28"/>
        </w:rPr>
        <w:t>
      ССС - сердечно-сосудистая система</w:t>
      </w:r>
    </w:p>
    <w:bookmarkEnd w:id="26"/>
    <w:bookmarkStart w:name="z33" w:id="27"/>
    <w:p>
      <w:pPr>
        <w:spacing w:after="0"/>
        <w:ind w:left="0"/>
        <w:jc w:val="both"/>
      </w:pPr>
      <w:r>
        <w:rPr>
          <w:rFonts w:ascii="Times New Roman"/>
          <w:b w:val="false"/>
          <w:i w:val="false"/>
          <w:color w:val="000000"/>
          <w:sz w:val="28"/>
        </w:rPr>
        <w:t>
      т.п. тому подобные (-ая, -ое)</w:t>
      </w:r>
    </w:p>
    <w:bookmarkEnd w:id="27"/>
    <w:bookmarkStart w:name="z34" w:id="28"/>
    <w:p>
      <w:pPr>
        <w:spacing w:after="0"/>
        <w:ind w:left="0"/>
        <w:jc w:val="both"/>
      </w:pPr>
      <w:r>
        <w:rPr>
          <w:rFonts w:ascii="Times New Roman"/>
          <w:b w:val="false"/>
          <w:i w:val="false"/>
          <w:color w:val="000000"/>
          <w:sz w:val="28"/>
        </w:rPr>
        <w:t>
      MedDRA - медицинский словарь для нормативно-правовой деятельности (Medical Dictionary for Regulatory Activities)</w:t>
      </w:r>
    </w:p>
    <w:bookmarkEnd w:id="28"/>
    <w:bookmarkStart w:name="z35" w:id="29"/>
    <w:p>
      <w:pPr>
        <w:spacing w:after="0"/>
        <w:ind w:left="0"/>
        <w:jc w:val="left"/>
      </w:pPr>
      <w:r>
        <w:rPr>
          <w:rFonts w:ascii="Times New Roman"/>
          <w:b/>
          <w:i w:val="false"/>
          <w:color w:val="000000"/>
        </w:rPr>
        <w:t xml:space="preserve"> 1. ОБЩИЕ ТРЕБОВАНИЯ К ИНСТРУКЦИИ ПО МЕДИЦИНСКОМУ</w:t>
      </w:r>
      <w:r>
        <w:br/>
      </w:r>
      <w:r>
        <w:rPr>
          <w:rFonts w:ascii="Times New Roman"/>
          <w:b/>
          <w:i w:val="false"/>
          <w:color w:val="000000"/>
        </w:rPr>
        <w:t>ПРИМЕНЕНИЮ ЛЕКАРСТВЕННЫХ СРЕДСТВ</w:t>
      </w:r>
    </w:p>
    <w:bookmarkEnd w:id="29"/>
    <w:bookmarkStart w:name="z36" w:id="30"/>
    <w:p>
      <w:pPr>
        <w:spacing w:after="0"/>
        <w:ind w:left="0"/>
        <w:jc w:val="both"/>
      </w:pPr>
      <w:r>
        <w:rPr>
          <w:rFonts w:ascii="Times New Roman"/>
          <w:b w:val="false"/>
          <w:i w:val="false"/>
          <w:color w:val="000000"/>
          <w:sz w:val="28"/>
        </w:rPr>
        <w:t>
      Требования, изложенные в настоящем документе, распространяются на инструкцию по медицинскому применению лекарственного препарата/лекарственного средства (далее – лекарственный препарат или ЛП), которая предназначена для специалистов и потребителей.</w:t>
      </w:r>
    </w:p>
    <w:bookmarkEnd w:id="30"/>
    <w:bookmarkStart w:name="z37" w:id="31"/>
    <w:p>
      <w:pPr>
        <w:spacing w:after="0"/>
        <w:ind w:left="0"/>
        <w:jc w:val="both"/>
      </w:pPr>
      <w:r>
        <w:rPr>
          <w:rFonts w:ascii="Times New Roman"/>
          <w:b w:val="false"/>
          <w:i w:val="false"/>
          <w:color w:val="000000"/>
          <w:sz w:val="28"/>
        </w:rPr>
        <w:t>
      Инструкция по медицинскому применению лекарственного препарата (далее – инструкция) должна содержать следующую информацию:</w:t>
      </w:r>
    </w:p>
    <w:bookmarkEnd w:id="31"/>
    <w:bookmarkStart w:name="z38" w:id="32"/>
    <w:p>
      <w:pPr>
        <w:spacing w:after="0"/>
        <w:ind w:left="0"/>
        <w:jc w:val="both"/>
      </w:pPr>
      <w:r>
        <w:rPr>
          <w:rFonts w:ascii="Times New Roman"/>
          <w:b w:val="false"/>
          <w:i w:val="false"/>
          <w:color w:val="000000"/>
          <w:sz w:val="28"/>
        </w:rPr>
        <w:t>
      1. Наименование/название лекарственного препарата (торговое, международное непатентованное или химическое наименование/название).</w:t>
      </w:r>
    </w:p>
    <w:bookmarkEnd w:id="32"/>
    <w:bookmarkStart w:name="z39" w:id="33"/>
    <w:p>
      <w:pPr>
        <w:spacing w:after="0"/>
        <w:ind w:left="0"/>
        <w:jc w:val="both"/>
      </w:pPr>
      <w:r>
        <w:rPr>
          <w:rFonts w:ascii="Times New Roman"/>
          <w:b w:val="false"/>
          <w:i w:val="false"/>
          <w:color w:val="000000"/>
          <w:sz w:val="28"/>
        </w:rPr>
        <w:t>
      2. Лекарственная форма с указанием количественного содержания или активности действующих веществ и перечень вспомогательных веществ.</w:t>
      </w:r>
    </w:p>
    <w:bookmarkEnd w:id="33"/>
    <w:bookmarkStart w:name="z40" w:id="34"/>
    <w:p>
      <w:pPr>
        <w:spacing w:after="0"/>
        <w:ind w:left="0"/>
        <w:jc w:val="both"/>
      </w:pPr>
      <w:r>
        <w:rPr>
          <w:rFonts w:ascii="Times New Roman"/>
          <w:b w:val="false"/>
          <w:i w:val="false"/>
          <w:color w:val="000000"/>
          <w:sz w:val="28"/>
        </w:rPr>
        <w:t>
      3. Описание внешнего вида.</w:t>
      </w:r>
    </w:p>
    <w:bookmarkEnd w:id="34"/>
    <w:bookmarkStart w:name="z41" w:id="35"/>
    <w:p>
      <w:pPr>
        <w:spacing w:after="0"/>
        <w:ind w:left="0"/>
        <w:jc w:val="both"/>
      </w:pPr>
      <w:r>
        <w:rPr>
          <w:rFonts w:ascii="Times New Roman"/>
          <w:b w:val="false"/>
          <w:i w:val="false"/>
          <w:color w:val="000000"/>
          <w:sz w:val="28"/>
        </w:rPr>
        <w:t>
      4. Фармакотерапевтическая группа лекарственного препарата (АТХ);</w:t>
      </w:r>
    </w:p>
    <w:bookmarkEnd w:id="35"/>
    <w:bookmarkStart w:name="z42" w:id="36"/>
    <w:p>
      <w:pPr>
        <w:spacing w:after="0"/>
        <w:ind w:left="0"/>
        <w:jc w:val="both"/>
      </w:pPr>
      <w:r>
        <w:rPr>
          <w:rFonts w:ascii="Times New Roman"/>
          <w:b w:val="false"/>
          <w:i w:val="false"/>
          <w:color w:val="000000"/>
          <w:sz w:val="28"/>
        </w:rPr>
        <w:t>
      5. Фармакологические свойства (фармакодинамика, фармакокинетика) или иммунологические (биологические) свойства для иммубиологических лекарственных препаратов.</w:t>
      </w:r>
    </w:p>
    <w:bookmarkEnd w:id="36"/>
    <w:bookmarkStart w:name="z43" w:id="37"/>
    <w:p>
      <w:pPr>
        <w:spacing w:after="0"/>
        <w:ind w:left="0"/>
        <w:jc w:val="both"/>
      </w:pPr>
      <w:r>
        <w:rPr>
          <w:rFonts w:ascii="Times New Roman"/>
          <w:b w:val="false"/>
          <w:i w:val="false"/>
          <w:color w:val="000000"/>
          <w:sz w:val="28"/>
        </w:rPr>
        <w:t>
      6. Показания к медицинскому применению.</w:t>
      </w:r>
    </w:p>
    <w:bookmarkEnd w:id="37"/>
    <w:bookmarkStart w:name="z44" w:id="38"/>
    <w:p>
      <w:pPr>
        <w:spacing w:after="0"/>
        <w:ind w:left="0"/>
        <w:jc w:val="both"/>
      </w:pPr>
      <w:r>
        <w:rPr>
          <w:rFonts w:ascii="Times New Roman"/>
          <w:b w:val="false"/>
          <w:i w:val="false"/>
          <w:color w:val="000000"/>
          <w:sz w:val="28"/>
        </w:rPr>
        <w:t>
      7. Режим дозирования, способ введения, при необходимости время приема лекарственного препарата, продолжительность лечения (в том числе у детей до и после одного года).</w:t>
      </w:r>
    </w:p>
    <w:bookmarkEnd w:id="38"/>
    <w:bookmarkStart w:name="z45" w:id="39"/>
    <w:p>
      <w:pPr>
        <w:spacing w:after="0"/>
        <w:ind w:left="0"/>
        <w:jc w:val="both"/>
      </w:pPr>
      <w:r>
        <w:rPr>
          <w:rFonts w:ascii="Times New Roman"/>
          <w:b w:val="false"/>
          <w:i w:val="false"/>
          <w:color w:val="000000"/>
          <w:sz w:val="28"/>
        </w:rPr>
        <w:t>
      8. Возможные побочные реакции при медицинском применении лекарственного препарата.</w:t>
      </w:r>
    </w:p>
    <w:bookmarkEnd w:id="39"/>
    <w:bookmarkStart w:name="z46" w:id="40"/>
    <w:p>
      <w:pPr>
        <w:spacing w:after="0"/>
        <w:ind w:left="0"/>
        <w:jc w:val="both"/>
      </w:pPr>
      <w:r>
        <w:rPr>
          <w:rFonts w:ascii="Times New Roman"/>
          <w:b w:val="false"/>
          <w:i w:val="false"/>
          <w:color w:val="000000"/>
          <w:sz w:val="28"/>
        </w:rPr>
        <w:t>
      9. Противопоказания для медицинского применения.</w:t>
      </w:r>
    </w:p>
    <w:bookmarkEnd w:id="40"/>
    <w:bookmarkStart w:name="z47" w:id="41"/>
    <w:p>
      <w:pPr>
        <w:spacing w:after="0"/>
        <w:ind w:left="0"/>
        <w:jc w:val="both"/>
      </w:pPr>
      <w:r>
        <w:rPr>
          <w:rFonts w:ascii="Times New Roman"/>
          <w:b w:val="false"/>
          <w:i w:val="false"/>
          <w:color w:val="000000"/>
          <w:sz w:val="28"/>
        </w:rPr>
        <w:t>
      10. Меры предосторожности при медицинском применении.</w:t>
      </w:r>
    </w:p>
    <w:bookmarkEnd w:id="41"/>
    <w:bookmarkStart w:name="z48" w:id="42"/>
    <w:p>
      <w:pPr>
        <w:spacing w:after="0"/>
        <w:ind w:left="0"/>
        <w:jc w:val="both"/>
      </w:pPr>
      <w:r>
        <w:rPr>
          <w:rFonts w:ascii="Times New Roman"/>
          <w:b w:val="false"/>
          <w:i w:val="false"/>
          <w:color w:val="000000"/>
          <w:sz w:val="28"/>
        </w:rPr>
        <w:t>
      11. Симптомы передозировки, меры по оказанию помощи при передозировке.</w:t>
      </w:r>
    </w:p>
    <w:bookmarkEnd w:id="42"/>
    <w:bookmarkStart w:name="z49" w:id="43"/>
    <w:p>
      <w:pPr>
        <w:spacing w:after="0"/>
        <w:ind w:left="0"/>
        <w:jc w:val="both"/>
      </w:pPr>
      <w:r>
        <w:rPr>
          <w:rFonts w:ascii="Times New Roman"/>
          <w:b w:val="false"/>
          <w:i w:val="false"/>
          <w:color w:val="000000"/>
          <w:sz w:val="28"/>
        </w:rPr>
        <w:t>
      12. Указание, при необходимости, особенностей действия лекарственного препарата при первом приеме или при его отмене.</w:t>
      </w:r>
    </w:p>
    <w:bookmarkEnd w:id="43"/>
    <w:bookmarkStart w:name="z50" w:id="44"/>
    <w:p>
      <w:pPr>
        <w:spacing w:after="0"/>
        <w:ind w:left="0"/>
        <w:jc w:val="both"/>
      </w:pPr>
      <w:r>
        <w:rPr>
          <w:rFonts w:ascii="Times New Roman"/>
          <w:b w:val="false"/>
          <w:i w:val="false"/>
          <w:color w:val="000000"/>
          <w:sz w:val="28"/>
        </w:rPr>
        <w:t>
      13. Указание, если необходимо, о действиях врача и пациента при пропуске приема одной или нескольких доз лекарственного препарата.</w:t>
      </w:r>
    </w:p>
    <w:bookmarkEnd w:id="44"/>
    <w:bookmarkStart w:name="z51" w:id="45"/>
    <w:p>
      <w:pPr>
        <w:spacing w:after="0"/>
        <w:ind w:left="0"/>
        <w:jc w:val="both"/>
      </w:pPr>
      <w:r>
        <w:rPr>
          <w:rFonts w:ascii="Times New Roman"/>
          <w:b w:val="false"/>
          <w:i w:val="false"/>
          <w:color w:val="000000"/>
          <w:sz w:val="28"/>
        </w:rPr>
        <w:t>
      14. Взаимодействие с другими лекарственными препаратами и (или) пищевыми продуктами.</w:t>
      </w:r>
    </w:p>
    <w:bookmarkEnd w:id="45"/>
    <w:bookmarkStart w:name="z52" w:id="46"/>
    <w:p>
      <w:pPr>
        <w:spacing w:after="0"/>
        <w:ind w:left="0"/>
        <w:jc w:val="both"/>
      </w:pPr>
      <w:r>
        <w:rPr>
          <w:rFonts w:ascii="Times New Roman"/>
          <w:b w:val="false"/>
          <w:i w:val="false"/>
          <w:color w:val="000000"/>
          <w:sz w:val="28"/>
        </w:rPr>
        <w:t>
      15. Указание возможности и особенностей медицинского применения лекарственного препарата беременными женщинами, женщинами в период грудного вскармливания, детьми до и после одного года, взрослыми, имеющими хронические заболевания.</w:t>
      </w:r>
    </w:p>
    <w:bookmarkEnd w:id="46"/>
    <w:bookmarkStart w:name="z53" w:id="47"/>
    <w:p>
      <w:pPr>
        <w:spacing w:after="0"/>
        <w:ind w:left="0"/>
        <w:jc w:val="both"/>
      </w:pPr>
      <w:r>
        <w:rPr>
          <w:rFonts w:ascii="Times New Roman"/>
          <w:b w:val="false"/>
          <w:i w:val="false"/>
          <w:color w:val="000000"/>
          <w:sz w:val="28"/>
        </w:rPr>
        <w:t>
      16. Сведения о возможности влияния лекарственного препарата на способность управления транспортными средствами и занятию другими видами деятельности, требующими повышенной концентрации внимания и быстроты психомоторной реакции.</w:t>
      </w:r>
    </w:p>
    <w:bookmarkEnd w:id="47"/>
    <w:bookmarkStart w:name="z54" w:id="48"/>
    <w:p>
      <w:pPr>
        <w:spacing w:after="0"/>
        <w:ind w:left="0"/>
        <w:jc w:val="both"/>
      </w:pPr>
      <w:r>
        <w:rPr>
          <w:rFonts w:ascii="Times New Roman"/>
          <w:b w:val="false"/>
          <w:i w:val="false"/>
          <w:color w:val="000000"/>
          <w:sz w:val="28"/>
        </w:rPr>
        <w:t>
      17. Срок годности / срок хранения и указание на запрет применения лекарственного препарата по истечению срока годности.</w:t>
      </w:r>
    </w:p>
    <w:bookmarkEnd w:id="48"/>
    <w:bookmarkStart w:name="z55" w:id="49"/>
    <w:p>
      <w:pPr>
        <w:spacing w:after="0"/>
        <w:ind w:left="0"/>
        <w:jc w:val="both"/>
      </w:pPr>
      <w:r>
        <w:rPr>
          <w:rFonts w:ascii="Times New Roman"/>
          <w:b w:val="false"/>
          <w:i w:val="false"/>
          <w:color w:val="000000"/>
          <w:sz w:val="28"/>
        </w:rPr>
        <w:t>
      18. Условия хранения.</w:t>
      </w:r>
    </w:p>
    <w:bookmarkEnd w:id="49"/>
    <w:p>
      <w:pPr>
        <w:spacing w:after="0"/>
        <w:ind w:left="0"/>
        <w:jc w:val="both"/>
      </w:pPr>
      <w:r>
        <w:rPr>
          <w:rFonts w:ascii="Times New Roman"/>
          <w:b w:val="false"/>
          <w:i w:val="false"/>
          <w:color w:val="000000"/>
          <w:sz w:val="28"/>
        </w:rPr>
        <w:t>
      19. Указание на необходимость хранения ЛП в местах, недоступных для детей.</w:t>
      </w:r>
    </w:p>
    <w:bookmarkStart w:name="z56" w:id="50"/>
    <w:p>
      <w:pPr>
        <w:spacing w:after="0"/>
        <w:ind w:left="0"/>
        <w:jc w:val="both"/>
      </w:pPr>
      <w:r>
        <w:rPr>
          <w:rFonts w:ascii="Times New Roman"/>
          <w:b w:val="false"/>
          <w:i w:val="false"/>
          <w:color w:val="000000"/>
          <w:sz w:val="28"/>
        </w:rPr>
        <w:t>
      20. Информация об организациях, в которые могут быть направлены претензии по качеству лекарственного препарата (наименование организации, телефон, факс, почтовый и электронный адреса).</w:t>
      </w:r>
    </w:p>
    <w:bookmarkEnd w:id="50"/>
    <w:bookmarkStart w:name="z57" w:id="51"/>
    <w:p>
      <w:pPr>
        <w:spacing w:after="0"/>
        <w:ind w:left="0"/>
        <w:jc w:val="both"/>
      </w:pPr>
      <w:r>
        <w:rPr>
          <w:rFonts w:ascii="Times New Roman"/>
          <w:b w:val="false"/>
          <w:i w:val="false"/>
          <w:color w:val="000000"/>
          <w:sz w:val="28"/>
        </w:rPr>
        <w:t>
      21. Название / наименование, юридический и фактический адреса организации-производителя лекарственного препарата, включая лицо, на имя которого выдано регистрационное удостоверение.</w:t>
      </w:r>
    </w:p>
    <w:bookmarkEnd w:id="51"/>
    <w:bookmarkStart w:name="z58" w:id="52"/>
    <w:p>
      <w:pPr>
        <w:spacing w:after="0"/>
        <w:ind w:left="0"/>
        <w:jc w:val="both"/>
      </w:pPr>
      <w:r>
        <w:rPr>
          <w:rFonts w:ascii="Times New Roman"/>
          <w:b w:val="false"/>
          <w:i w:val="false"/>
          <w:color w:val="000000"/>
          <w:sz w:val="28"/>
        </w:rPr>
        <w:t>
      22. Условия отпуска.</w:t>
      </w:r>
    </w:p>
    <w:bookmarkEnd w:id="52"/>
    <w:bookmarkStart w:name="z59" w:id="53"/>
    <w:p>
      <w:pPr>
        <w:spacing w:after="0"/>
        <w:ind w:left="0"/>
        <w:jc w:val="both"/>
      </w:pPr>
      <w:r>
        <w:rPr>
          <w:rFonts w:ascii="Times New Roman"/>
          <w:b w:val="false"/>
          <w:i w:val="false"/>
          <w:color w:val="000000"/>
          <w:sz w:val="28"/>
        </w:rPr>
        <w:t>
      23. Указание, при необходимости, специальных мер предосторожности при уничтожении неиспользованных лекарственных препаратов.</w:t>
      </w:r>
    </w:p>
    <w:bookmarkEnd w:id="53"/>
    <w:bookmarkStart w:name="z60" w:id="54"/>
    <w:p>
      <w:pPr>
        <w:spacing w:after="0"/>
        <w:ind w:left="0"/>
        <w:jc w:val="left"/>
      </w:pPr>
      <w:r>
        <w:rPr>
          <w:rFonts w:ascii="Times New Roman"/>
          <w:b/>
          <w:i w:val="false"/>
          <w:color w:val="000000"/>
        </w:rPr>
        <w:t xml:space="preserve"> 2. ОБЩИЕ ТРЕБОВАНИЯ К ОФОРМЛЕНИЮ ИНСТРУКЦИИ ПО МЕДИЦИНСКОМУ ПРИМЕНЕНИЮ ЛЕКАРСТВЕННЫХ СРЕДСТВ</w:t>
      </w:r>
    </w:p>
    <w:bookmarkEnd w:id="54"/>
    <w:bookmarkStart w:name="z61" w:id="55"/>
    <w:p>
      <w:pPr>
        <w:spacing w:after="0"/>
        <w:ind w:left="0"/>
        <w:jc w:val="both"/>
      </w:pPr>
      <w:r>
        <w:rPr>
          <w:rFonts w:ascii="Times New Roman"/>
          <w:b w:val="false"/>
          <w:i w:val="false"/>
          <w:color w:val="000000"/>
          <w:sz w:val="28"/>
        </w:rPr>
        <w:t>
      Текст инструкции печатается на государственном и русском языке символами не менее 8 кегля – шрифтом такого размера, чтобы строчный символ "х" имел не менее 1,4 мм в высоту, причем расстояние между строками должно быть не менее 3 мм. Названия разделов выделяют полужирным шрифтом. Тип выбранной печати должен гарантировать максимальную четкость.</w:t>
      </w:r>
    </w:p>
    <w:bookmarkEnd w:id="55"/>
    <w:bookmarkStart w:name="z62" w:id="56"/>
    <w:p>
      <w:pPr>
        <w:spacing w:after="0"/>
        <w:ind w:left="0"/>
        <w:jc w:val="both"/>
      </w:pPr>
      <w:r>
        <w:rPr>
          <w:rFonts w:ascii="Times New Roman"/>
          <w:b w:val="false"/>
          <w:i w:val="false"/>
          <w:color w:val="000000"/>
          <w:sz w:val="28"/>
        </w:rPr>
        <w:t>
      При предоставлении текста инструкции на экспертизу рекомендуется придерживаться следующего порядка оформления:</w:t>
      </w:r>
    </w:p>
    <w:bookmarkEnd w:id="56"/>
    <w:bookmarkStart w:name="z63" w:id="57"/>
    <w:p>
      <w:pPr>
        <w:spacing w:after="0"/>
        <w:ind w:left="0"/>
        <w:jc w:val="both"/>
      </w:pPr>
      <w:r>
        <w:rPr>
          <w:rFonts w:ascii="Times New Roman"/>
          <w:b w:val="false"/>
          <w:i w:val="false"/>
          <w:color w:val="000000"/>
          <w:sz w:val="28"/>
        </w:rPr>
        <w:t>
      текст инструкции набирается символами 14 кегля;</w:t>
      </w:r>
    </w:p>
    <w:bookmarkEnd w:id="57"/>
    <w:bookmarkStart w:name="z64" w:id="58"/>
    <w:p>
      <w:pPr>
        <w:spacing w:after="0"/>
        <w:ind w:left="0"/>
        <w:jc w:val="both"/>
      </w:pPr>
      <w:r>
        <w:rPr>
          <w:rFonts w:ascii="Times New Roman"/>
          <w:b w:val="false"/>
          <w:i w:val="false"/>
          <w:color w:val="000000"/>
          <w:sz w:val="28"/>
        </w:rPr>
        <w:t>
      шрифт "Times New Roman";</w:t>
      </w:r>
    </w:p>
    <w:bookmarkEnd w:id="58"/>
    <w:bookmarkStart w:name="z65" w:id="59"/>
    <w:p>
      <w:pPr>
        <w:spacing w:after="0"/>
        <w:ind w:left="0"/>
        <w:jc w:val="both"/>
      </w:pPr>
      <w:r>
        <w:rPr>
          <w:rFonts w:ascii="Times New Roman"/>
          <w:b w:val="false"/>
          <w:i w:val="false"/>
          <w:color w:val="000000"/>
          <w:sz w:val="28"/>
        </w:rPr>
        <w:t>
      полуторный интервал;</w:t>
      </w:r>
    </w:p>
    <w:bookmarkEnd w:id="59"/>
    <w:bookmarkStart w:name="z66" w:id="60"/>
    <w:p>
      <w:pPr>
        <w:spacing w:after="0"/>
        <w:ind w:left="0"/>
        <w:jc w:val="both"/>
      </w:pPr>
      <w:r>
        <w:rPr>
          <w:rFonts w:ascii="Times New Roman"/>
          <w:b w:val="false"/>
          <w:i w:val="false"/>
          <w:color w:val="000000"/>
          <w:sz w:val="28"/>
        </w:rPr>
        <w:t>
      левое поле – 2 см, правое, нижнее и верхнее поля по 1 см.</w:t>
      </w:r>
    </w:p>
    <w:bookmarkEnd w:id="60"/>
    <w:bookmarkStart w:name="z67" w:id="61"/>
    <w:p>
      <w:pPr>
        <w:spacing w:after="0"/>
        <w:ind w:left="0"/>
        <w:jc w:val="both"/>
      </w:pPr>
      <w:r>
        <w:rPr>
          <w:rFonts w:ascii="Times New Roman"/>
          <w:b w:val="false"/>
          <w:i w:val="false"/>
          <w:color w:val="000000"/>
          <w:sz w:val="28"/>
        </w:rPr>
        <w:t>
      следует избегать использования слов, набранных заглавными буквами.</w:t>
      </w:r>
    </w:p>
    <w:bookmarkEnd w:id="61"/>
    <w:bookmarkStart w:name="z68" w:id="62"/>
    <w:p>
      <w:pPr>
        <w:spacing w:after="0"/>
        <w:ind w:left="0"/>
        <w:jc w:val="both"/>
      </w:pPr>
      <w:r>
        <w:rPr>
          <w:rFonts w:ascii="Times New Roman"/>
          <w:b w:val="false"/>
          <w:i w:val="false"/>
          <w:color w:val="000000"/>
          <w:sz w:val="28"/>
        </w:rPr>
        <w:t>
      Пунктуация должна быть простой: с использованием запятых, точек, тире и перечисления. Текст не должен содержать орфографических ошибок и опечаток.</w:t>
      </w:r>
    </w:p>
    <w:bookmarkEnd w:id="62"/>
    <w:bookmarkStart w:name="z69" w:id="63"/>
    <w:p>
      <w:pPr>
        <w:spacing w:after="0"/>
        <w:ind w:left="0"/>
        <w:jc w:val="both"/>
      </w:pPr>
      <w:r>
        <w:rPr>
          <w:rFonts w:ascii="Times New Roman"/>
          <w:b w:val="false"/>
          <w:i w:val="false"/>
          <w:color w:val="000000"/>
          <w:sz w:val="28"/>
        </w:rPr>
        <w:t>
      Изложение текста должно быть четким, конкретным, кратким, без повторения (в пределах одного раздела) и исключать возможность различного толкования. Инструкции, переведенные с других языков, должны быть адаптированы к медицинской терминологии государственного и русского языка.</w:t>
      </w:r>
    </w:p>
    <w:bookmarkEnd w:id="63"/>
    <w:bookmarkStart w:name="z70" w:id="64"/>
    <w:p>
      <w:pPr>
        <w:spacing w:after="0"/>
        <w:ind w:left="0"/>
        <w:jc w:val="both"/>
      </w:pPr>
      <w:r>
        <w:rPr>
          <w:rFonts w:ascii="Times New Roman"/>
          <w:b w:val="false"/>
          <w:i w:val="false"/>
          <w:color w:val="000000"/>
          <w:sz w:val="28"/>
        </w:rPr>
        <w:t>
      В разделах, затрагивающих профиль эффективности и безопасности ЛП, рекомендуется подробно описывать состояния, при которых пациент должен обратиться к врачу (например, не ограничиваться термином "агранулоцитоз" или "гипогликемия", а дополнительно указать их проявления доступным для пациента языком); по возможности объяснять специальные термины.</w:t>
      </w:r>
    </w:p>
    <w:bookmarkEnd w:id="64"/>
    <w:bookmarkStart w:name="z71" w:id="65"/>
    <w:p>
      <w:pPr>
        <w:spacing w:after="0"/>
        <w:ind w:left="0"/>
        <w:jc w:val="both"/>
      </w:pPr>
      <w:r>
        <w:rPr>
          <w:rFonts w:ascii="Times New Roman"/>
          <w:b w:val="false"/>
          <w:i w:val="false"/>
          <w:color w:val="000000"/>
          <w:sz w:val="28"/>
        </w:rPr>
        <w:t>
      Информация должна соответствовать названию раздела.</w:t>
      </w:r>
    </w:p>
    <w:bookmarkEnd w:id="65"/>
    <w:bookmarkStart w:name="z72" w:id="66"/>
    <w:p>
      <w:pPr>
        <w:spacing w:after="0"/>
        <w:ind w:left="0"/>
        <w:jc w:val="both"/>
      </w:pPr>
      <w:r>
        <w:rPr>
          <w:rFonts w:ascii="Times New Roman"/>
          <w:b w:val="false"/>
          <w:i w:val="false"/>
          <w:color w:val="000000"/>
          <w:sz w:val="28"/>
        </w:rPr>
        <w:t>
      Сокращение слов в тексте и надписях под рисунками, схемами и др. иллюстрациями без предварительной расшифровки и/или перевода на государственный язык и русский язык не допускается.</w:t>
      </w:r>
    </w:p>
    <w:bookmarkEnd w:id="66"/>
    <w:bookmarkStart w:name="z73" w:id="67"/>
    <w:p>
      <w:pPr>
        <w:spacing w:after="0"/>
        <w:ind w:left="0"/>
        <w:jc w:val="both"/>
      </w:pPr>
      <w:r>
        <w:rPr>
          <w:rFonts w:ascii="Times New Roman"/>
          <w:b w:val="false"/>
          <w:i w:val="false"/>
          <w:color w:val="000000"/>
          <w:sz w:val="28"/>
        </w:rPr>
        <w:t>
      В качестве дополнительной меры могут использоваться пиктограммы, если они разъясняют ситуацию для пациента.</w:t>
      </w:r>
    </w:p>
    <w:bookmarkEnd w:id="67"/>
    <w:bookmarkStart w:name="z74" w:id="68"/>
    <w:p>
      <w:pPr>
        <w:spacing w:after="0"/>
        <w:ind w:left="0"/>
        <w:jc w:val="both"/>
      </w:pPr>
      <w:r>
        <w:rPr>
          <w:rFonts w:ascii="Times New Roman"/>
          <w:b w:val="false"/>
          <w:i w:val="false"/>
          <w:color w:val="000000"/>
          <w:sz w:val="28"/>
        </w:rPr>
        <w:t>
      Текст инструкции рецептурного ЛП может содержать следующую информацию:</w:t>
      </w:r>
    </w:p>
    <w:bookmarkEnd w:id="68"/>
    <w:bookmarkStart w:name="z75" w:id="69"/>
    <w:p>
      <w:pPr>
        <w:spacing w:after="0"/>
        <w:ind w:left="0"/>
        <w:jc w:val="both"/>
      </w:pPr>
      <w:r>
        <w:rPr>
          <w:rFonts w:ascii="Times New Roman"/>
          <w:b w:val="false"/>
          <w:i w:val="false"/>
          <w:color w:val="000000"/>
          <w:sz w:val="28"/>
        </w:rPr>
        <w:t xml:space="preserve">
      </w:t>
      </w:r>
      <w:r>
        <w:rPr>
          <w:rFonts w:ascii="Times New Roman"/>
          <w:b w:val="false"/>
          <w:i/>
          <w:color w:val="000000"/>
          <w:sz w:val="28"/>
        </w:rPr>
        <w:t>Внимательно прочитайте эту инструкцию перед тем, как начать прием/использование этого лекарства.</w:t>
      </w:r>
    </w:p>
    <w:bookmarkEnd w:id="69"/>
    <w:bookmarkStart w:name="z76" w:id="70"/>
    <w:p>
      <w:pPr>
        <w:spacing w:after="0"/>
        <w:ind w:left="0"/>
        <w:jc w:val="both"/>
      </w:pPr>
      <w:r>
        <w:rPr>
          <w:rFonts w:ascii="Times New Roman"/>
          <w:b w:val="false"/>
          <w:i w:val="false"/>
          <w:color w:val="000000"/>
          <w:sz w:val="28"/>
        </w:rPr>
        <w:t xml:space="preserve">
      </w:t>
      </w:r>
      <w:r>
        <w:rPr>
          <w:rFonts w:ascii="Times New Roman"/>
          <w:b w:val="false"/>
          <w:i/>
          <w:color w:val="000000"/>
          <w:sz w:val="28"/>
        </w:rPr>
        <w:t>Сохраните инструкцию, она может потребоваться вновь.</w:t>
      </w:r>
    </w:p>
    <w:bookmarkEnd w:id="70"/>
    <w:bookmarkStart w:name="z77" w:id="71"/>
    <w:p>
      <w:pPr>
        <w:spacing w:after="0"/>
        <w:ind w:left="0"/>
        <w:jc w:val="both"/>
      </w:pPr>
      <w:r>
        <w:rPr>
          <w:rFonts w:ascii="Times New Roman"/>
          <w:b w:val="false"/>
          <w:i w:val="false"/>
          <w:color w:val="000000"/>
          <w:sz w:val="28"/>
        </w:rPr>
        <w:t xml:space="preserve">
      </w:t>
      </w:r>
      <w:r>
        <w:rPr>
          <w:rFonts w:ascii="Times New Roman"/>
          <w:b w:val="false"/>
          <w:i/>
          <w:color w:val="000000"/>
          <w:sz w:val="28"/>
        </w:rPr>
        <w:t>Если у Вас возникли вопросы, обратитесь к врачу.</w:t>
      </w:r>
    </w:p>
    <w:bookmarkEnd w:id="71"/>
    <w:bookmarkStart w:name="z78" w:id="72"/>
    <w:p>
      <w:pPr>
        <w:spacing w:after="0"/>
        <w:ind w:left="0"/>
        <w:jc w:val="both"/>
      </w:pPr>
      <w:r>
        <w:rPr>
          <w:rFonts w:ascii="Times New Roman"/>
          <w:b w:val="false"/>
          <w:i w:val="false"/>
          <w:color w:val="000000"/>
          <w:sz w:val="28"/>
        </w:rPr>
        <w:t xml:space="preserve">
      </w:t>
      </w:r>
      <w:r>
        <w:rPr>
          <w:rFonts w:ascii="Times New Roman"/>
          <w:b w:val="false"/>
          <w:i/>
          <w:color w:val="000000"/>
          <w:sz w:val="28"/>
        </w:rPr>
        <w:t>Это лекарство назначено лично Вам, его не следует передавать другим лицам, поскольку оно может причинить им вред даже при наличии тех же симптомов, что и у Вас.</w:t>
      </w:r>
    </w:p>
    <w:bookmarkEnd w:id="72"/>
    <w:bookmarkStart w:name="z79" w:id="73"/>
    <w:p>
      <w:pPr>
        <w:spacing w:after="0"/>
        <w:ind w:left="0"/>
        <w:jc w:val="both"/>
      </w:pPr>
      <w:r>
        <w:rPr>
          <w:rFonts w:ascii="Times New Roman"/>
          <w:b w:val="false"/>
          <w:i w:val="false"/>
          <w:color w:val="000000"/>
          <w:sz w:val="28"/>
        </w:rPr>
        <w:t>
      Текст инструкции безрецептурного ЛП может содержать следующую информацию:</w:t>
      </w:r>
    </w:p>
    <w:bookmarkEnd w:id="73"/>
    <w:bookmarkStart w:name="z80" w:id="74"/>
    <w:p>
      <w:pPr>
        <w:spacing w:after="0"/>
        <w:ind w:left="0"/>
        <w:jc w:val="both"/>
      </w:pPr>
      <w:r>
        <w:rPr>
          <w:rFonts w:ascii="Times New Roman"/>
          <w:b w:val="false"/>
          <w:i w:val="false"/>
          <w:color w:val="000000"/>
          <w:sz w:val="28"/>
        </w:rPr>
        <w:t xml:space="preserve">
      </w:t>
      </w:r>
      <w:r>
        <w:rPr>
          <w:rFonts w:ascii="Times New Roman"/>
          <w:b w:val="false"/>
          <w:i/>
          <w:color w:val="000000"/>
          <w:sz w:val="28"/>
        </w:rPr>
        <w:t>Внимательно прочитайте эту инструкцию перед тем, как начать прием/использование этого лекарства.</w:t>
      </w:r>
    </w:p>
    <w:bookmarkEnd w:id="74"/>
    <w:bookmarkStart w:name="z81" w:id="75"/>
    <w:p>
      <w:pPr>
        <w:spacing w:after="0"/>
        <w:ind w:left="0"/>
        <w:jc w:val="both"/>
      </w:pPr>
      <w:r>
        <w:rPr>
          <w:rFonts w:ascii="Times New Roman"/>
          <w:b w:val="false"/>
          <w:i w:val="false"/>
          <w:color w:val="000000"/>
          <w:sz w:val="28"/>
        </w:rPr>
        <w:t xml:space="preserve">
      </w:t>
      </w:r>
      <w:r>
        <w:rPr>
          <w:rFonts w:ascii="Times New Roman"/>
          <w:b w:val="false"/>
          <w:i/>
          <w:color w:val="000000"/>
          <w:sz w:val="28"/>
        </w:rPr>
        <w:t>Это лекарство отпускается без рецепта. Для достижения оптимальных результатов его следует использовать, строго выполняя все рекомендации, изложенные в инструкции.</w:t>
      </w:r>
    </w:p>
    <w:bookmarkEnd w:id="75"/>
    <w:bookmarkStart w:name="z82" w:id="76"/>
    <w:p>
      <w:pPr>
        <w:spacing w:after="0"/>
        <w:ind w:left="0"/>
        <w:jc w:val="both"/>
      </w:pPr>
      <w:r>
        <w:rPr>
          <w:rFonts w:ascii="Times New Roman"/>
          <w:b w:val="false"/>
          <w:i w:val="false"/>
          <w:color w:val="000000"/>
          <w:sz w:val="28"/>
        </w:rPr>
        <w:t xml:space="preserve">
      </w:t>
      </w:r>
      <w:r>
        <w:rPr>
          <w:rFonts w:ascii="Times New Roman"/>
          <w:b w:val="false"/>
          <w:i/>
          <w:color w:val="000000"/>
          <w:sz w:val="28"/>
        </w:rPr>
        <w:t>Сохраните инструкцию, она может потребоваться вновь.</w:t>
      </w:r>
    </w:p>
    <w:bookmarkEnd w:id="76"/>
    <w:bookmarkStart w:name="z83" w:id="77"/>
    <w:p>
      <w:pPr>
        <w:spacing w:after="0"/>
        <w:ind w:left="0"/>
        <w:jc w:val="both"/>
      </w:pPr>
      <w:r>
        <w:rPr>
          <w:rFonts w:ascii="Times New Roman"/>
          <w:b w:val="false"/>
          <w:i w:val="false"/>
          <w:color w:val="000000"/>
          <w:sz w:val="28"/>
        </w:rPr>
        <w:t xml:space="preserve">
      </w:t>
      </w:r>
      <w:r>
        <w:rPr>
          <w:rFonts w:ascii="Times New Roman"/>
          <w:b w:val="false"/>
          <w:i/>
          <w:color w:val="000000"/>
          <w:sz w:val="28"/>
        </w:rPr>
        <w:t>Если у вас возникли вопросы, обратитесь к врачу.</w:t>
      </w:r>
    </w:p>
    <w:bookmarkEnd w:id="77"/>
    <w:bookmarkStart w:name="z84" w:id="7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Обратитесь к врачу, если у Вас состояние ухудшилось или улучшение не наступило через... дней </w:t>
      </w:r>
      <w:r>
        <w:rPr>
          <w:rFonts w:ascii="Times New Roman"/>
          <w:b w:val="false"/>
          <w:i w:val="false"/>
          <w:color w:val="000000"/>
          <w:sz w:val="28"/>
        </w:rPr>
        <w:t>(при возможности указания подобных сведений).</w:t>
      </w:r>
    </w:p>
    <w:bookmarkEnd w:id="78"/>
    <w:bookmarkStart w:name="z85" w:id="79"/>
    <w:p>
      <w:pPr>
        <w:spacing w:after="0"/>
        <w:ind w:left="0"/>
        <w:jc w:val="both"/>
      </w:pPr>
      <w:r>
        <w:rPr>
          <w:rFonts w:ascii="Times New Roman"/>
          <w:b w:val="false"/>
          <w:i w:val="false"/>
          <w:color w:val="000000"/>
          <w:sz w:val="28"/>
        </w:rPr>
        <w:t>
      Инструкция не должна содержать ссылок на конкретные результаты клинических исследований данного ЛП и указаний на его преимущества перед другими ЛП (допускается только приведение конкретного сравнения по скорости наступления эффекта, его длительности и т.п. параметрам). Инструкция не должна содержать информацию рекламного характера.</w:t>
      </w:r>
    </w:p>
    <w:bookmarkEnd w:id="79"/>
    <w:bookmarkStart w:name="z86" w:id="80"/>
    <w:p>
      <w:pPr>
        <w:spacing w:after="0"/>
        <w:ind w:left="0"/>
        <w:jc w:val="left"/>
      </w:pPr>
      <w:r>
        <w:rPr>
          <w:rFonts w:ascii="Times New Roman"/>
          <w:b/>
          <w:i w:val="false"/>
          <w:color w:val="000000"/>
        </w:rPr>
        <w:t xml:space="preserve"> 3. ТРЕБОВАНИЯ К ПОСТРОЕНИЮ И ИЗЛОЖЕНИЮ ТЕКСТА</w:t>
      </w:r>
      <w:r>
        <w:br/>
      </w:r>
      <w:r>
        <w:rPr>
          <w:rFonts w:ascii="Times New Roman"/>
          <w:b/>
          <w:i w:val="false"/>
          <w:color w:val="000000"/>
        </w:rPr>
        <w:t>ИНСТРУКЦИИ ПО МЕДИЦИНСКОМУ ПРИМЕНЕНИЮ</w:t>
      </w:r>
      <w:r>
        <w:br/>
      </w:r>
      <w:r>
        <w:rPr>
          <w:rFonts w:ascii="Times New Roman"/>
          <w:b/>
          <w:i w:val="false"/>
          <w:color w:val="000000"/>
        </w:rPr>
        <w:t>ЛЕКАРСТВЕННЫХ СРЕДСТВ</w:t>
      </w:r>
    </w:p>
    <w:bookmarkEnd w:id="80"/>
    <w:bookmarkStart w:name="z87" w:id="8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Заголовок: </w:t>
      </w:r>
      <w:r>
        <w:rPr>
          <w:rFonts w:ascii="Times New Roman"/>
          <w:b w:val="false"/>
          <w:i w:val="false"/>
          <w:color w:val="000000"/>
          <w:sz w:val="28"/>
        </w:rPr>
        <w:t>"ИНСТРУКЦИЯ ПО МЕДИЦИНСКОМУ ПРИМЕНЕНИЮ ЛЕКАРСТВЕННОГО ПРЕПАРАТА" и далее приводится торговое название ЛП в именительном падеже.</w:t>
      </w:r>
    </w:p>
    <w:bookmarkEnd w:id="81"/>
    <w:bookmarkStart w:name="z88" w:id="8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Торговое название / наименование: </w:t>
      </w:r>
      <w:r>
        <w:rPr>
          <w:rFonts w:ascii="Times New Roman"/>
          <w:b w:val="false"/>
          <w:i w:val="false"/>
          <w:color w:val="000000"/>
          <w:sz w:val="28"/>
        </w:rPr>
        <w:t>указывают торговое  название / наименование ЛП, составленные с учетом законодательства государства-члена Таможенного союза.</w:t>
      </w:r>
    </w:p>
    <w:bookmarkEnd w:id="82"/>
    <w:bookmarkStart w:name="z89" w:id="8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МНН: </w:t>
      </w:r>
      <w:r>
        <w:rPr>
          <w:rFonts w:ascii="Times New Roman"/>
          <w:b w:val="false"/>
          <w:i w:val="false"/>
          <w:color w:val="000000"/>
          <w:sz w:val="28"/>
        </w:rPr>
        <w:t>указывают на русском или английском языках, а при его отсутствии – указывают "не имеет".</w:t>
      </w:r>
    </w:p>
    <w:bookmarkEnd w:id="83"/>
    <w:bookmarkStart w:name="z90" w:id="8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Химическое название: </w:t>
      </w:r>
      <w:r>
        <w:rPr>
          <w:rFonts w:ascii="Times New Roman"/>
          <w:b w:val="false"/>
          <w:i w:val="false"/>
          <w:color w:val="000000"/>
          <w:sz w:val="28"/>
        </w:rPr>
        <w:t>указывается для монокомпонентных ЛП.</w:t>
      </w:r>
    </w:p>
    <w:bookmarkEnd w:id="84"/>
    <w:bookmarkStart w:name="z91" w:id="8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Лекарственная форма: </w:t>
      </w:r>
      <w:r>
        <w:rPr>
          <w:rFonts w:ascii="Times New Roman"/>
          <w:b w:val="false"/>
          <w:i w:val="false"/>
          <w:color w:val="000000"/>
          <w:sz w:val="28"/>
        </w:rPr>
        <w:t>указывается название лекарственной формы, согласно гармонизированным национальным фармакопейным стандартам.</w:t>
      </w:r>
    </w:p>
    <w:bookmarkEnd w:id="85"/>
    <w:bookmarkStart w:name="z92" w:id="8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Состав: </w:t>
      </w:r>
      <w:r>
        <w:rPr>
          <w:rFonts w:ascii="Times New Roman"/>
          <w:b w:val="false"/>
          <w:i w:val="false"/>
          <w:color w:val="000000"/>
          <w:sz w:val="28"/>
        </w:rPr>
        <w:t>приводится полный состав всех действующих/активных (количественный) и вспомогательных</w:t>
      </w:r>
      <w:r>
        <w:rPr>
          <w:rFonts w:ascii="Times New Roman"/>
          <w:b w:val="false"/>
          <w:i w:val="false"/>
          <w:color w:val="000000"/>
          <w:vertAlign w:val="superscript"/>
        </w:rPr>
        <w:t>1</w:t>
      </w:r>
      <w:r>
        <w:rPr>
          <w:rFonts w:ascii="Times New Roman"/>
          <w:b w:val="false"/>
          <w:i w:val="false"/>
          <w:color w:val="000000"/>
          <w:sz w:val="28"/>
        </w:rPr>
        <w:t xml:space="preserve"> (качественный</w:t>
      </w:r>
      <w:r>
        <w:rPr>
          <w:rFonts w:ascii="Times New Roman"/>
          <w:b w:val="false"/>
          <w:i w:val="false"/>
          <w:color w:val="000000"/>
          <w:vertAlign w:val="superscript"/>
        </w:rPr>
        <w:t>2</w:t>
      </w:r>
      <w:r>
        <w:rPr>
          <w:rFonts w:ascii="Times New Roman"/>
          <w:b w:val="false"/>
          <w:i w:val="false"/>
          <w:color w:val="000000"/>
          <w:sz w:val="28"/>
        </w:rPr>
        <w:t>) веществ, входящих в состав лекарственного препарата.</w:t>
      </w:r>
    </w:p>
    <w:bookmarkEnd w:id="86"/>
    <w:bookmarkStart w:name="z93" w:id="87"/>
    <w:p>
      <w:pPr>
        <w:spacing w:after="0"/>
        <w:ind w:left="0"/>
        <w:jc w:val="both"/>
      </w:pPr>
      <w:r>
        <w:rPr>
          <w:rFonts w:ascii="Times New Roman"/>
          <w:b w:val="false"/>
          <w:i w:val="false"/>
          <w:color w:val="000000"/>
          <w:sz w:val="28"/>
        </w:rPr>
        <w:t>
      Все действующие/активные и вспомогательные вещества должны быть указаны с учетом солевой, гидратной, эфирной и т.п. формы, в которой данное вещество включено в состав лекарственного препарата. Если вспомогательное вещество имеет индекс "Е" по Международной классификации, то он указывается в скобках после названия вспомогательного вещества.</w:t>
      </w:r>
    </w:p>
    <w:bookmarkEnd w:id="87"/>
    <w:bookmarkStart w:name="z94" w:id="88"/>
    <w:p>
      <w:pPr>
        <w:spacing w:after="0"/>
        <w:ind w:left="0"/>
        <w:jc w:val="both"/>
      </w:pPr>
      <w:r>
        <w:rPr>
          <w:rFonts w:ascii="Times New Roman"/>
          <w:b w:val="false"/>
          <w:i w:val="false"/>
          <w:color w:val="000000"/>
          <w:sz w:val="28"/>
        </w:rPr>
        <w:t>
      В случае, если активное вещество включено в виде соли, гидрата, эфира приводится его количественное содержание в единицах массы в пересчете на активное начало (основание, кислоту или безводную соль). Допускается не указывать пересчет на основание, кислоту, безводную соль, когда режим дозирования приведен по солевой, гидратной, эфирной форме.</w:t>
      </w:r>
    </w:p>
    <w:bookmarkEnd w:id="88"/>
    <w:bookmarkStart w:name="z95" w:id="89"/>
    <w:p>
      <w:pPr>
        <w:spacing w:after="0"/>
        <w:ind w:left="0"/>
        <w:jc w:val="both"/>
      </w:pPr>
      <w:r>
        <w:rPr>
          <w:rFonts w:ascii="Times New Roman"/>
          <w:b w:val="false"/>
          <w:i w:val="false"/>
          <w:color w:val="000000"/>
          <w:sz w:val="28"/>
        </w:rPr>
        <w:t>
      Для трансдермальных форм должна быть указана общая масса активного вещества в лекарственной форме с указанием ее площади. Дополнительно допускается указание скорости высвобождения действующего/активного вещества в единицах массы за единицу времени (данная информация обязательно должна быть отражена в разделе "Фармакокинетика" и дозировке).</w:t>
      </w:r>
    </w:p>
    <w:bookmarkEnd w:id="89"/>
    <w:bookmarkStart w:name="z96" w:id="90"/>
    <w:p>
      <w:pPr>
        <w:spacing w:after="0"/>
        <w:ind w:left="0"/>
        <w:jc w:val="both"/>
      </w:pPr>
      <w:r>
        <w:rPr>
          <w:rFonts w:ascii="Times New Roman"/>
          <w:b w:val="false"/>
          <w:i w:val="false"/>
          <w:color w:val="000000"/>
          <w:sz w:val="28"/>
        </w:rPr>
        <w:t>
      Для мягких лекарственных форм должно быть указано содержаниемассы действующего/активного вещества в единице дозы, для недозированных мягких лекарственных форм – в 1 г.</w:t>
      </w:r>
    </w:p>
    <w:bookmarkEnd w:id="90"/>
    <w:bookmarkStart w:name="z97" w:id="91"/>
    <w:p>
      <w:pPr>
        <w:spacing w:after="0"/>
        <w:ind w:left="0"/>
        <w:jc w:val="both"/>
      </w:pPr>
      <w:r>
        <w:rPr>
          <w:rFonts w:ascii="Times New Roman"/>
          <w:b w:val="false"/>
          <w:i w:val="false"/>
          <w:color w:val="000000"/>
          <w:sz w:val="28"/>
        </w:rPr>
        <w:t>
      Если компонент состава не является индивидуальным химическим</w:t>
      </w:r>
    </w:p>
    <w:bookmarkEnd w:id="91"/>
    <w:p>
      <w:pPr>
        <w:spacing w:after="0"/>
        <w:ind w:left="0"/>
        <w:jc w:val="both"/>
      </w:pPr>
      <w:r>
        <w:rPr>
          <w:rFonts w:ascii="Times New Roman"/>
          <w:b w:val="false"/>
          <w:i w:val="false"/>
          <w:color w:val="000000"/>
          <w:sz w:val="28"/>
        </w:rPr>
        <w:t>
      соединением, то приводится полный список составляющих его веществ (для сложных компонентов, состоящих из нескольких веществ - пленкообразующие покрытия, оболочка капсулы, премиксы и т.п.), или источник получения (для компонентов природного происхождения, например, "полипептиды коры головного мозга крупного рогатого скота").</w:t>
      </w:r>
    </w:p>
    <w:bookmarkStart w:name="z98" w:id="92"/>
    <w:p>
      <w:pPr>
        <w:spacing w:after="0"/>
        <w:ind w:left="0"/>
        <w:jc w:val="both"/>
      </w:pPr>
      <w:r>
        <w:rPr>
          <w:rFonts w:ascii="Times New Roman"/>
          <w:b w:val="false"/>
          <w:i w:val="false"/>
          <w:color w:val="000000"/>
          <w:sz w:val="28"/>
        </w:rPr>
        <w:t>
      Для компонентов растительного происхождения название указывается по следующему принципу: название производящего растения - родовое и видовое (при необходимости), затем – сырьевая часть растения и лекарственная форма). Например: "Аниса плодов экстракт".</w:t>
      </w:r>
    </w:p>
    <w:bookmarkEnd w:id="92"/>
    <w:bookmarkStart w:name="z101" w:id="93"/>
    <w:p>
      <w:pPr>
        <w:spacing w:after="0"/>
        <w:ind w:left="0"/>
        <w:jc w:val="both"/>
      </w:pPr>
      <w:r>
        <w:rPr>
          <w:rFonts w:ascii="Times New Roman"/>
          <w:b w:val="false"/>
          <w:i w:val="false"/>
          <w:color w:val="000000"/>
          <w:sz w:val="28"/>
        </w:rPr>
        <w:t>
      Для гомеопатических препаратов названия активных субстанций указывается на латинском языке и государственном/русском языке с использованием транслитерации.</w:t>
      </w:r>
    </w:p>
    <w:bookmarkEnd w:id="93"/>
    <w:bookmarkStart w:name="z102" w:id="9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Код АТХ: </w:t>
      </w:r>
      <w:r>
        <w:rPr>
          <w:rFonts w:ascii="Times New Roman"/>
          <w:b w:val="false"/>
          <w:i w:val="false"/>
          <w:color w:val="000000"/>
          <w:sz w:val="28"/>
        </w:rPr>
        <w:t>указывают рекомендованный ВОЗ код международной анатомо-терапевтическо-химической классификации. Если код АТХ не присвоен, должно быть указано – "не присвоен".</w:t>
      </w:r>
    </w:p>
    <w:bookmarkEnd w:id="94"/>
    <w:bookmarkStart w:name="z103" w:id="9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Фармакотерапевтическая группа: </w:t>
      </w:r>
      <w:r>
        <w:rPr>
          <w:rFonts w:ascii="Times New Roman"/>
          <w:b w:val="false"/>
          <w:i w:val="false"/>
          <w:color w:val="000000"/>
          <w:sz w:val="28"/>
        </w:rPr>
        <w:t>указывается групповая принадлежность ЛП по классификации АТХ ВОЗ.</w:t>
      </w:r>
    </w:p>
    <w:bookmarkEnd w:id="95"/>
    <w:bookmarkStart w:name="z104" w:id="9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Описание: </w:t>
      </w:r>
      <w:r>
        <w:rPr>
          <w:rFonts w:ascii="Times New Roman"/>
          <w:b w:val="false"/>
          <w:i w:val="false"/>
          <w:color w:val="000000"/>
          <w:sz w:val="28"/>
        </w:rPr>
        <w:t>приводятся основные характеристики ЛП – внешний вид, цвет; при необходимости – запах, вкус, в соответствии с данными, представленными в нормативной документации по контролю качества ЛП.</w:t>
      </w:r>
    </w:p>
    <w:bookmarkEnd w:id="96"/>
    <w:bookmarkStart w:name="z105" w:id="97"/>
    <w:p>
      <w:pPr>
        <w:spacing w:after="0"/>
        <w:ind w:left="0"/>
        <w:jc w:val="both"/>
      </w:pPr>
      <w:r>
        <w:rPr>
          <w:rFonts w:ascii="Times New Roman"/>
          <w:b w:val="false"/>
          <w:i w:val="false"/>
          <w:color w:val="000000"/>
          <w:sz w:val="28"/>
        </w:rPr>
        <w:t xml:space="preserve">
      </w:t>
      </w:r>
      <w:r>
        <w:rPr>
          <w:rFonts w:ascii="Times New Roman"/>
          <w:b/>
          <w:i w:val="false"/>
          <w:color w:val="000000"/>
          <w:sz w:val="28"/>
        </w:rPr>
        <w:t>Характеристика препарата (вводится при необходимости)</w:t>
      </w:r>
      <w:r>
        <w:rPr>
          <w:rFonts w:ascii="Times New Roman"/>
          <w:b w:val="false"/>
          <w:i w:val="false"/>
          <w:color w:val="000000"/>
          <w:sz w:val="28"/>
        </w:rPr>
        <w:t>:</w:t>
      </w:r>
    </w:p>
    <w:bookmarkEnd w:id="97"/>
    <w:bookmarkStart w:name="z106" w:id="98"/>
    <w:p>
      <w:pPr>
        <w:spacing w:after="0"/>
        <w:ind w:left="0"/>
        <w:jc w:val="both"/>
      </w:pPr>
      <w:r>
        <w:rPr>
          <w:rFonts w:ascii="Times New Roman"/>
          <w:b w:val="false"/>
          <w:i w:val="false"/>
          <w:color w:val="000000"/>
          <w:sz w:val="28"/>
        </w:rPr>
        <w:t>
      указываются дополнительные данные, характеризующие активный (-ые) компонент (-ы), которые не могут быть помещены в др. разделы (например, способ получения). Например, для биотехнологических продуктов должны быть приведены характеристики клеточной системы, а также сделано указание на использование технологии рекомбинантной ДНК (в случае ее применения).</w:t>
      </w:r>
    </w:p>
    <w:bookmarkEnd w:id="98"/>
    <w:bookmarkStart w:name="z107" w:id="9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Физико-химические свойства </w:t>
      </w:r>
      <w:r>
        <w:rPr>
          <w:rFonts w:ascii="Times New Roman"/>
          <w:b w:val="false"/>
          <w:i w:val="false"/>
          <w:color w:val="000000"/>
          <w:sz w:val="28"/>
        </w:rPr>
        <w:t>(только для радиофармацевтических препаратов): указывают название радионуклида, период полураспада, тип распада, основной энергетический спектр радионуклида с указанием выхода, классификацию радионуклида по степени радиационной опасности, метод его получения, радиохимическую и радионуклидную чистоту препарата.</w:t>
      </w:r>
    </w:p>
    <w:bookmarkEnd w:id="99"/>
    <w:bookmarkStart w:name="z108" w:id="100"/>
    <w:p>
      <w:pPr>
        <w:spacing w:after="0"/>
        <w:ind w:left="0"/>
        <w:jc w:val="both"/>
      </w:pPr>
      <w:r>
        <w:rPr>
          <w:rFonts w:ascii="Times New Roman"/>
          <w:b w:val="false"/>
          <w:i w:val="false"/>
          <w:color w:val="000000"/>
          <w:sz w:val="28"/>
        </w:rPr>
        <w:t xml:space="preserve">
      </w:t>
      </w:r>
      <w:r>
        <w:rPr>
          <w:rFonts w:ascii="Times New Roman"/>
          <w:b/>
          <w:i w:val="false"/>
          <w:color w:val="000000"/>
          <w:sz w:val="28"/>
        </w:rPr>
        <w:t>Фармакологические свойства</w:t>
      </w:r>
    </w:p>
    <w:bookmarkEnd w:id="100"/>
    <w:bookmarkStart w:name="z109" w:id="101"/>
    <w:p>
      <w:pPr>
        <w:spacing w:after="0"/>
        <w:ind w:left="0"/>
        <w:jc w:val="both"/>
      </w:pPr>
      <w:r>
        <w:rPr>
          <w:rFonts w:ascii="Times New Roman"/>
          <w:b w:val="false"/>
          <w:i w:val="false"/>
          <w:color w:val="000000"/>
          <w:sz w:val="28"/>
        </w:rPr>
        <w:t xml:space="preserve">
      </w:t>
      </w:r>
      <w:r>
        <w:rPr>
          <w:rFonts w:ascii="Times New Roman"/>
          <w:b/>
          <w:i w:val="false"/>
          <w:color w:val="000000"/>
          <w:sz w:val="28"/>
        </w:rPr>
        <w:t>Фармакодинамика</w:t>
      </w:r>
      <w:r>
        <w:rPr>
          <w:rFonts w:ascii="Times New Roman"/>
          <w:b w:val="false"/>
          <w:i w:val="false"/>
          <w:color w:val="000000"/>
          <w:vertAlign w:val="superscript"/>
        </w:rPr>
        <w:t>3</w:t>
      </w:r>
      <w:r>
        <w:rPr>
          <w:rFonts w:ascii="Times New Roman"/>
          <w:b/>
          <w:i w:val="false"/>
          <w:color w:val="000000"/>
          <w:sz w:val="28"/>
        </w:rPr>
        <w:t xml:space="preserve">: </w:t>
      </w:r>
      <w:r>
        <w:rPr>
          <w:rFonts w:ascii="Times New Roman"/>
          <w:b w:val="false"/>
          <w:i w:val="false"/>
          <w:color w:val="000000"/>
          <w:sz w:val="28"/>
        </w:rPr>
        <w:t>приводятся основные фармакологические, химиотерапевтические или др. биологические свойства входящих в состав препарата лекарственных веществ, на которых основано его применение в медицинской клинической практике для лечения, профилактики, диагностики болезней и др.</w:t>
      </w:r>
    </w:p>
    <w:bookmarkEnd w:id="101"/>
    <w:bookmarkStart w:name="z110" w:id="102"/>
    <w:p>
      <w:pPr>
        <w:spacing w:after="0"/>
        <w:ind w:left="0"/>
        <w:jc w:val="both"/>
      </w:pPr>
      <w:r>
        <w:rPr>
          <w:rFonts w:ascii="Times New Roman"/>
          <w:b w:val="false"/>
          <w:i w:val="false"/>
          <w:color w:val="000000"/>
          <w:sz w:val="28"/>
        </w:rPr>
        <w:t>
      Приводятся сведения о механизме фармакологического (-их) эффекта (-ов) действующих лекарственных веществ, из которого (-ых) вытекают все основные свойства ЛП при его использовании в клинической практике: показания к применению, противопоказания и побочные действия. Указывается время начала, максимума и продолжительности действия ЛП, развитие его стабильного действия.</w:t>
      </w:r>
    </w:p>
    <w:bookmarkEnd w:id="102"/>
    <w:bookmarkStart w:name="z111" w:id="103"/>
    <w:p>
      <w:pPr>
        <w:spacing w:after="0"/>
        <w:ind w:left="0"/>
        <w:jc w:val="both"/>
      </w:pPr>
      <w:r>
        <w:rPr>
          <w:rFonts w:ascii="Times New Roman"/>
          <w:b w:val="false"/>
          <w:i w:val="false"/>
          <w:color w:val="000000"/>
          <w:sz w:val="28"/>
        </w:rPr>
        <w:t>
      Приводят сведения об особенностях действия ЛП при различных формах и стадиях течения заболевания, у людей разных возрастных групп (детский возраст, пожилой возраст), у беременных женщин, кормящих матерей, при нарушении функций различных систем организма (ЖКТ, печени, почек, ССС и др.).</w:t>
      </w:r>
    </w:p>
    <w:bookmarkEnd w:id="103"/>
    <w:bookmarkStart w:name="z112" w:id="104"/>
    <w:p>
      <w:pPr>
        <w:spacing w:after="0"/>
        <w:ind w:left="0"/>
        <w:jc w:val="both"/>
      </w:pPr>
      <w:r>
        <w:rPr>
          <w:rFonts w:ascii="Times New Roman"/>
          <w:b w:val="false"/>
          <w:i w:val="false"/>
          <w:color w:val="000000"/>
          <w:sz w:val="28"/>
        </w:rPr>
        <w:t>
      Рекомендуется привести токсикологическую характеристику ЛП, включая информацию по тератогенности, мутагенности, канцерогенности и других возможных отдаленных побочных эффектах.</w:t>
      </w:r>
    </w:p>
    <w:bookmarkEnd w:id="104"/>
    <w:p>
      <w:pPr>
        <w:spacing w:after="0"/>
        <w:ind w:left="0"/>
        <w:jc w:val="both"/>
      </w:pPr>
      <w:r>
        <w:rPr>
          <w:rFonts w:ascii="Times New Roman"/>
          <w:b w:val="false"/>
          <w:i w:val="false"/>
          <w:color w:val="000000"/>
          <w:sz w:val="28"/>
        </w:rPr>
        <w:t>
      Рекомендуется изложить сведения об особенностях действия ЛП</w:t>
      </w:r>
      <w:r>
        <w:rPr>
          <w:rFonts w:ascii="Times New Roman"/>
          <w:b w:val="false"/>
          <w:i w:val="false"/>
          <w:color w:val="000000"/>
          <w:vertAlign w:val="superscript"/>
        </w:rPr>
        <w:t>4</w:t>
      </w:r>
      <w:r>
        <w:rPr>
          <w:rFonts w:ascii="Times New Roman"/>
          <w:b w:val="false"/>
          <w:i w:val="false"/>
          <w:color w:val="000000"/>
          <w:sz w:val="28"/>
        </w:rPr>
        <w:t xml:space="preserve"> при различных формах и стадиях течения болезни, у людей разных возрастных групп - беременных женщин, кормящих матерей, при нарушении функций различных систем организма (ЖКТ, печени, почек, ССС и др.).</w:t>
      </w:r>
    </w:p>
    <w:bookmarkStart w:name="z114" w:id="105"/>
    <w:p>
      <w:pPr>
        <w:spacing w:after="0"/>
        <w:ind w:left="0"/>
        <w:jc w:val="both"/>
      </w:pPr>
      <w:r>
        <w:rPr>
          <w:rFonts w:ascii="Times New Roman"/>
          <w:b w:val="false"/>
          <w:i w:val="false"/>
          <w:color w:val="000000"/>
          <w:sz w:val="28"/>
        </w:rPr>
        <w:t xml:space="preserve">
      </w:t>
      </w:r>
      <w:r>
        <w:rPr>
          <w:rFonts w:ascii="Times New Roman"/>
          <w:b/>
          <w:i w:val="false"/>
          <w:color w:val="000000"/>
          <w:sz w:val="28"/>
        </w:rPr>
        <w:t>Фармакокинетика</w:t>
      </w:r>
      <w:r>
        <w:rPr>
          <w:rFonts w:ascii="Times New Roman"/>
          <w:b w:val="false"/>
          <w:i w:val="false"/>
          <w:color w:val="000000"/>
          <w:vertAlign w:val="superscript"/>
        </w:rPr>
        <w:t>5</w:t>
      </w:r>
      <w:r>
        <w:rPr>
          <w:rFonts w:ascii="Times New Roman"/>
          <w:b/>
          <w:i w:val="false"/>
          <w:color w:val="000000"/>
          <w:sz w:val="28"/>
        </w:rPr>
        <w:t xml:space="preserve">: </w:t>
      </w:r>
      <w:r>
        <w:rPr>
          <w:rFonts w:ascii="Times New Roman"/>
          <w:b w:val="false"/>
          <w:i w:val="false"/>
          <w:color w:val="000000"/>
          <w:sz w:val="28"/>
        </w:rPr>
        <w:t>в этом разделе должна быть представлена информация о всасывании, распределении по тканям и органам, особенностях метаболизма, элиминации и др. фармакокинетические характеристики ЛП, из которых вытекают доза и интервал времени между повторным применением ЛП:</w:t>
      </w:r>
    </w:p>
    <w:bookmarkEnd w:id="105"/>
    <w:bookmarkStart w:name="z115" w:id="10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всасывание: </w:t>
      </w:r>
      <w:r>
        <w:rPr>
          <w:rFonts w:ascii="Times New Roman"/>
          <w:b w:val="false"/>
          <w:i w:val="false"/>
          <w:color w:val="000000"/>
          <w:sz w:val="28"/>
        </w:rPr>
        <w:t>приводятся данные о характере и скорости всасывания ЛП или его основных компонентов в месте ведения и влиянии на этот процесс различных модифицирующих факторов. Например, для препаратов принимаемых внутрь, влияние на их всасывание приема пищи, наличие отклонений от нормального функционирования (повышенная илипониженная кислотность желудочного сока и др.) или воспалительныхпроцессов в пищеварительном тракте. Необходимо привести сведения обабсолютной и относительной биодоступности. При парентеральномингаляционном, ректальном, введении, или наружном применении ЛП важно обозначить отличительные черты или особенности таких путей введения, которые имеют существенное значение для эффективного и безопасного применения конкретного ЛП.</w:t>
      </w:r>
    </w:p>
    <w:bookmarkEnd w:id="106"/>
    <w:bookmarkStart w:name="z116" w:id="107"/>
    <w:p>
      <w:pPr>
        <w:spacing w:after="0"/>
        <w:ind w:left="0"/>
        <w:jc w:val="both"/>
      </w:pPr>
      <w:r>
        <w:rPr>
          <w:rFonts w:ascii="Times New Roman"/>
          <w:b w:val="false"/>
          <w:i w:val="false"/>
          <w:color w:val="000000"/>
          <w:sz w:val="28"/>
        </w:rPr>
        <w:t>
      Приводится информация о возможности рециркуляции препарата (кишечно-печеночная циркуляция или печеночная рециркуляция).</w:t>
      </w:r>
    </w:p>
    <w:bookmarkEnd w:id="107"/>
    <w:p>
      <w:pPr>
        <w:spacing w:after="0"/>
        <w:ind w:left="0"/>
        <w:jc w:val="both"/>
      </w:pPr>
      <w:r>
        <w:rPr>
          <w:rFonts w:ascii="Times New Roman"/>
          <w:b w:val="false"/>
          <w:i w:val="false"/>
          <w:color w:val="000000"/>
          <w:sz w:val="28"/>
        </w:rPr>
        <w:t>
      В этом разделе должны быть указания о времени достижениямаксимальной концентрации в крови и органах-мишенях, продолжительности поддержания терапевтической концентрации (с учетом нормальной или нарушенной функции органов и систем, ответственных за выведение ЛП):</w:t>
      </w:r>
    </w:p>
    <w:bookmarkStart w:name="z117" w:id="108"/>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val="false"/>
          <w:i/>
          <w:color w:val="000000"/>
          <w:sz w:val="28"/>
        </w:rPr>
        <w:t xml:space="preserve">распределение: </w:t>
      </w:r>
      <w:r>
        <w:rPr>
          <w:rFonts w:ascii="Times New Roman"/>
          <w:b w:val="false"/>
          <w:i w:val="false"/>
          <w:color w:val="000000"/>
          <w:sz w:val="28"/>
        </w:rPr>
        <w:t xml:space="preserve">приводятся данные о распределении действующего фармакологического вещества в кровяном русле (связь с белками, свободная фракция), степень накопления в разных тканях (особенно в пораженных органах, суставных и других полостях), проникновение через гематоэнцефалический барьер, плаценту, в молоко матери. Желательно привести данные по способности препарата к кумуляции материального или функционального характера. </w:t>
      </w:r>
    </w:p>
    <w:bookmarkEnd w:id="108"/>
    <w:bookmarkStart w:name="z118" w:id="109"/>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val="false"/>
          <w:i/>
          <w:color w:val="000000"/>
          <w:sz w:val="28"/>
        </w:rPr>
        <w:t xml:space="preserve">метаболизм: </w:t>
      </w:r>
      <w:r>
        <w:rPr>
          <w:rFonts w:ascii="Times New Roman"/>
          <w:b w:val="false"/>
          <w:i w:val="false"/>
          <w:color w:val="000000"/>
          <w:sz w:val="28"/>
        </w:rPr>
        <w:t>эффект "первичного прохождения" (пресистемного метаболизма), скорость и уровень превращений в печени и др. тканях, период полувыведения (Т</w:t>
      </w:r>
      <w:r>
        <w:rPr>
          <w:rFonts w:ascii="Times New Roman"/>
          <w:b w:val="false"/>
          <w:i w:val="false"/>
          <w:color w:val="000000"/>
          <w:vertAlign w:val="subscript"/>
        </w:rPr>
        <w:t>1/2</w:t>
      </w:r>
      <w:r>
        <w:rPr>
          <w:rFonts w:ascii="Times New Roman"/>
          <w:b w:val="false"/>
          <w:i w:val="false"/>
          <w:color w:val="000000"/>
          <w:sz w:val="28"/>
        </w:rPr>
        <w:t>), общий клиренс, информация по изоформам ферментов, метаболизирующих ЛП, фармакологическая активность метаболитов, путь выведения метаболитов в активном или индифферентном виде и т.п. Следует приводить информацию о влиянии на скорость метаболизма фармакологического вещества пищи, приема алкогольных напитков, др. ЛП, суточных ритмов, климатических условий, влияние профессиональных и других факторов.</w:t>
      </w:r>
    </w:p>
    <w:bookmarkEnd w:id="109"/>
    <w:bookmarkStart w:name="z121" w:id="11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выведение: </w:t>
      </w:r>
      <w:r>
        <w:rPr>
          <w:rFonts w:ascii="Times New Roman"/>
          <w:b w:val="false"/>
          <w:i w:val="false"/>
          <w:color w:val="000000"/>
          <w:sz w:val="28"/>
        </w:rPr>
        <w:t>пути элиминации из организма (почки, кишечник, дыхательные пути, потовые железы, грудное молоко и т.д.) и их удельное соотношение. Приводят сведения о скорости элиминации, способности к накоплению на пути экскреции и характеристику кумуляции (материальная или функциональная) препарата. Обязательно указывают данные о влиянии состояния органов системы выведения на скорость выведения и режим дозировки препарата. Указываются преимущественные и альтернативные пути выведения ЛП, с учетом их элиминации при экстракорпоральных методах воздействия на кровь (в т.ч. гемодиализ, перитонеальный диализ).</w:t>
      </w:r>
    </w:p>
    <w:bookmarkEnd w:id="110"/>
    <w:bookmarkStart w:name="z122" w:id="111"/>
    <w:p>
      <w:pPr>
        <w:spacing w:after="0"/>
        <w:ind w:left="0"/>
        <w:jc w:val="both"/>
      </w:pPr>
      <w:r>
        <w:rPr>
          <w:rFonts w:ascii="Times New Roman"/>
          <w:b w:val="false"/>
          <w:i w:val="false"/>
          <w:color w:val="000000"/>
          <w:sz w:val="28"/>
        </w:rPr>
        <w:t>
      Указывают сведения о линейности или нелинейности фармакокинетики ЛП в зависимости от дозы (времени), если кинетика нелинейна, указывают причины нелинейности. Указывают информацию по взаимосвязи фармакокинетики и фармакодинамики ("доза-эффект").</w:t>
      </w:r>
    </w:p>
    <w:bookmarkEnd w:id="111"/>
    <w:bookmarkStart w:name="z123" w:id="112"/>
    <w:p>
      <w:pPr>
        <w:spacing w:after="0"/>
        <w:ind w:left="0"/>
        <w:jc w:val="both"/>
      </w:pPr>
      <w:r>
        <w:rPr>
          <w:rFonts w:ascii="Times New Roman"/>
          <w:b w:val="false"/>
          <w:i w:val="false"/>
          <w:color w:val="000000"/>
          <w:sz w:val="28"/>
        </w:rPr>
        <w:t>
      Указывают на влияние возраста пациента (дети, люди пожилого возраста), массы тела, пола, генетических и др. факторов на фармакокинетические параметры препарата.</w:t>
      </w:r>
    </w:p>
    <w:bookmarkEnd w:id="112"/>
    <w:bookmarkStart w:name="z124" w:id="1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Показания к медицинскому применению: </w:t>
      </w:r>
      <w:r>
        <w:rPr>
          <w:rFonts w:ascii="Times New Roman"/>
          <w:b w:val="false"/>
          <w:i w:val="false"/>
          <w:color w:val="000000"/>
          <w:sz w:val="28"/>
        </w:rPr>
        <w:t>указывают на клиническое назначение ЛП и его основное применение в качестве лечебного, профилактического или диагностического препарата; в монотерапии или в составе комбинированной, или комплексной терапии. Приводится перечень конкретных заболеваний, синдромов и симптомов, при которых ЛП рекомендуется для медицинского использования. При обозначении названия заболеваний следует руководствоваться действующей редакцией Международной статистической классификации болезней и проблем, связанных со здоровьем (МКБ). Допускается расширение формулировок МКБ с учетом стадий и фаз заболеваний.</w:t>
      </w:r>
    </w:p>
    <w:bookmarkEnd w:id="113"/>
    <w:bookmarkStart w:name="z125" w:id="114"/>
    <w:p>
      <w:pPr>
        <w:spacing w:after="0"/>
        <w:ind w:left="0"/>
        <w:jc w:val="both"/>
      </w:pPr>
      <w:r>
        <w:rPr>
          <w:rFonts w:ascii="Times New Roman"/>
          <w:b w:val="false"/>
          <w:i w:val="false"/>
          <w:color w:val="000000"/>
          <w:sz w:val="28"/>
        </w:rPr>
        <w:t>
      Не допускают общих выражений типа: "Используется при заболеваниях сердца", "Применяется при болях в суставах" и т.п. рекомендации без указания названий конкретных заболеваний согласно МКБ. Обязательно указывается возможность использования ЛП для детей с указанием возраста, а также возможность и особенность применения у людей пожилого возраста, беременных женщин, кормящих матерей.</w:t>
      </w:r>
    </w:p>
    <w:bookmarkEnd w:id="114"/>
    <w:bookmarkStart w:name="z126" w:id="1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Режим дозирования, способ введения: </w:t>
      </w:r>
      <w:r>
        <w:rPr>
          <w:rFonts w:ascii="Times New Roman"/>
          <w:b w:val="false"/>
          <w:i w:val="false"/>
          <w:color w:val="000000"/>
          <w:sz w:val="28"/>
        </w:rPr>
        <w:t>для каждого медицинского показания указывают пути введения, разовую дозу (для определенных категорий ЛП – противоопухолевые и др., следует указать дозу из расчета на поверхность или массу тела), кратность использования и продолжительность интервала времени между повторными приемами (введениями) препарата, суточную дозу, продолжительность курса лечения, возможность повторных курсов лечения и протяженность перерыва между курсами.</w:t>
      </w:r>
    </w:p>
    <w:bookmarkEnd w:id="115"/>
    <w:bookmarkStart w:name="z127" w:id="116"/>
    <w:p>
      <w:pPr>
        <w:spacing w:after="0"/>
        <w:ind w:left="0"/>
        <w:jc w:val="both"/>
      </w:pPr>
      <w:r>
        <w:rPr>
          <w:rFonts w:ascii="Times New Roman"/>
          <w:b w:val="false"/>
          <w:i w:val="false"/>
          <w:color w:val="000000"/>
          <w:sz w:val="28"/>
        </w:rPr>
        <w:t>
      Приводятся дополнительные условия, которых нужно придерживаться при применении препарата: время применения, соотношение с приемом пищи</w:t>
      </w:r>
      <w:r>
        <w:rPr>
          <w:rFonts w:ascii="Times New Roman"/>
          <w:b w:val="false"/>
          <w:i w:val="false"/>
          <w:color w:val="000000"/>
          <w:vertAlign w:val="superscript"/>
        </w:rPr>
        <w:t>6</w:t>
      </w:r>
      <w:r>
        <w:rPr>
          <w:rFonts w:ascii="Times New Roman"/>
          <w:b w:val="false"/>
          <w:i w:val="false"/>
          <w:color w:val="000000"/>
          <w:sz w:val="28"/>
        </w:rPr>
        <w:t>, необходимость соблюдения специальной диеты, титрации дозы, действия пациента в случае пропуска приема очередной дозы и действия, связанные с предупреждением развития нежелательных эффектов препарата с перекрестной ссылкой на раздел "Побочное действие".</w:t>
      </w:r>
    </w:p>
    <w:bookmarkEnd w:id="116"/>
    <w:bookmarkStart w:name="z128" w:id="117"/>
    <w:p>
      <w:pPr>
        <w:spacing w:after="0"/>
        <w:ind w:left="0"/>
        <w:jc w:val="both"/>
      </w:pPr>
      <w:r>
        <w:rPr>
          <w:rFonts w:ascii="Times New Roman"/>
          <w:b w:val="false"/>
          <w:i w:val="false"/>
          <w:color w:val="000000"/>
          <w:sz w:val="28"/>
        </w:rPr>
        <w:t>
      При необходимости подробно описываются способы подготовки препарата для применения. Например, для таблеток принимаемых внутрь, необходимость или возможность (невозможность) предварительного раздробления и растворения таблетки в воде, или, наоборот, требование принять таблетку без ее повреждения и т.д. Для приготовления растворов для парентерального введения - вид и количество растворителя, необходимость подогревания раствора перед введением, скорость введения в сосудистое русло и др.</w:t>
      </w:r>
    </w:p>
    <w:bookmarkEnd w:id="117"/>
    <w:bookmarkStart w:name="z129" w:id="118"/>
    <w:p>
      <w:pPr>
        <w:spacing w:after="0"/>
        <w:ind w:left="0"/>
        <w:jc w:val="both"/>
      </w:pPr>
      <w:r>
        <w:rPr>
          <w:rFonts w:ascii="Times New Roman"/>
          <w:b w:val="false"/>
          <w:i w:val="false"/>
          <w:color w:val="000000"/>
          <w:sz w:val="28"/>
        </w:rPr>
        <w:t>
      Для ЛП, разрешенных к применению у детей, указываются возрастные дозы, желательно с учетом поверхности или массы тела. Эта информация выделяется в виде отдельного подраздела (или абзаца) в данном разделе инструкции. При необходимости применения ЛП у доношенных и недоношенных новорожденных должен указываться гестационный возраст.</w:t>
      </w:r>
    </w:p>
    <w:bookmarkEnd w:id="118"/>
    <w:bookmarkStart w:name="z130" w:id="119"/>
    <w:p>
      <w:pPr>
        <w:spacing w:after="0"/>
        <w:ind w:left="0"/>
        <w:jc w:val="both"/>
      </w:pPr>
      <w:r>
        <w:rPr>
          <w:rFonts w:ascii="Times New Roman"/>
          <w:b w:val="false"/>
          <w:i w:val="false"/>
          <w:color w:val="000000"/>
          <w:sz w:val="28"/>
        </w:rPr>
        <w:t>
      Для ЛП, подлежащих особому контролю, обязательно приводятся максимальные разовая и суточная дозы.</w:t>
      </w:r>
    </w:p>
    <w:bookmarkEnd w:id="119"/>
    <w:bookmarkStart w:name="z131" w:id="120"/>
    <w:p>
      <w:pPr>
        <w:spacing w:after="0"/>
        <w:ind w:left="0"/>
        <w:jc w:val="both"/>
      </w:pPr>
      <w:r>
        <w:rPr>
          <w:rFonts w:ascii="Times New Roman"/>
          <w:b w:val="false"/>
          <w:i w:val="false"/>
          <w:color w:val="000000"/>
          <w:sz w:val="28"/>
        </w:rPr>
        <w:t>
      Следует отметить особенности дозирования ЛП для определенных</w:t>
      </w:r>
    </w:p>
    <w:bookmarkEnd w:id="120"/>
    <w:p>
      <w:pPr>
        <w:spacing w:after="0"/>
        <w:ind w:left="0"/>
        <w:jc w:val="both"/>
      </w:pPr>
      <w:r>
        <w:rPr>
          <w:rFonts w:ascii="Times New Roman"/>
          <w:b w:val="false"/>
          <w:i w:val="false"/>
          <w:color w:val="000000"/>
          <w:sz w:val="28"/>
        </w:rPr>
        <w:t>
      категорий больных (сахарный диабет, почечная недостаточность, беременность, пожилой возраст, проведение процедур экстракорпорального воздействия на кровь и др.). При описании особенностей дозирования у пациентов с почечной недостаточностью дозы должны быть соотнесены с биохимическими маркерами, указывающими на степень нарушения выделительной функции почек (клиренс креатинина, концентрация креатинина сыворотки и др.). При описании особенностей дозирования у пациентов с нарушением функции печени дозы должны быть соотнесены со степенью нарушения функции печени по шкале Чайлд-Пью.</w:t>
      </w:r>
    </w:p>
    <w:bookmarkStart w:name="z132" w:id="121"/>
    <w:p>
      <w:pPr>
        <w:spacing w:after="0"/>
        <w:ind w:left="0"/>
        <w:jc w:val="both"/>
      </w:pPr>
      <w:r>
        <w:rPr>
          <w:rFonts w:ascii="Times New Roman"/>
          <w:b w:val="false"/>
          <w:i w:val="false"/>
          <w:color w:val="000000"/>
          <w:sz w:val="28"/>
        </w:rPr>
        <w:t>
      Для радиофармацевтических препаратов обязательно указывают лучевые нагрузки (поглощенную дозу) на критические органы, рассчитанные в мГр/МБк, эффективную эквивалентную дозу в пересчете на все тело в мЗв/МБк.</w:t>
      </w:r>
    </w:p>
    <w:bookmarkEnd w:id="121"/>
    <w:bookmarkStart w:name="z134" w:id="1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Возможные побочные реакции при медицинском </w:t>
      </w:r>
      <w:r>
        <w:rPr>
          <w:rFonts w:ascii="Times New Roman"/>
          <w:b/>
          <w:i w:val="false"/>
          <w:color w:val="000000"/>
          <w:sz w:val="28"/>
        </w:rPr>
        <w:t>применениилекарственного</w:t>
      </w:r>
      <w:r>
        <w:rPr>
          <w:rFonts w:ascii="Times New Roman"/>
          <w:b/>
          <w:i w:val="false"/>
          <w:color w:val="000000"/>
          <w:sz w:val="28"/>
        </w:rPr>
        <w:t xml:space="preserve"> препарата: </w:t>
      </w:r>
      <w:r>
        <w:rPr>
          <w:rFonts w:ascii="Times New Roman"/>
          <w:b w:val="false"/>
          <w:i w:val="false"/>
          <w:color w:val="000000"/>
          <w:sz w:val="28"/>
        </w:rPr>
        <w:t>в разделе необходимо указать все нежелательные побочные реакции (НПР), которые возникали в процессе лечения данным ЛП или др. препаратами с таким же действующим (-и) веществом (-ами).</w:t>
      </w:r>
    </w:p>
    <w:bookmarkEnd w:id="122"/>
    <w:bookmarkStart w:name="z135" w:id="123"/>
    <w:p>
      <w:pPr>
        <w:spacing w:after="0"/>
        <w:ind w:left="0"/>
        <w:jc w:val="both"/>
      </w:pPr>
      <w:r>
        <w:rPr>
          <w:rFonts w:ascii="Times New Roman"/>
          <w:b w:val="false"/>
          <w:i w:val="false"/>
          <w:color w:val="000000"/>
          <w:sz w:val="28"/>
        </w:rPr>
        <w:t xml:space="preserve">
      Информацию о НПР рекомендуется располагать в соответствии с поражением органов и систем органов с использованием примерных группировочных названий, предложенных в </w:t>
      </w:r>
      <w:r>
        <w:rPr>
          <w:rFonts w:ascii="Times New Roman"/>
          <w:b w:val="false"/>
          <w:i w:val="false"/>
          <w:color w:val="000000"/>
          <w:sz w:val="28"/>
        </w:rPr>
        <w:t>Приложении 1</w:t>
      </w:r>
      <w:r>
        <w:rPr>
          <w:rFonts w:ascii="Times New Roman"/>
          <w:b w:val="false"/>
          <w:i w:val="false"/>
          <w:color w:val="000000"/>
          <w:sz w:val="28"/>
        </w:rPr>
        <w:t xml:space="preserve">, или медицинского словаря для нормативно-правовой деятельности (MedDRA) (см. </w:t>
      </w:r>
      <w:r>
        <w:rPr>
          <w:rFonts w:ascii="Times New Roman"/>
          <w:b w:val="false"/>
          <w:i w:val="false"/>
          <w:color w:val="000000"/>
          <w:sz w:val="28"/>
        </w:rPr>
        <w:t>Приложение 2</w:t>
      </w:r>
      <w:r>
        <w:rPr>
          <w:rFonts w:ascii="Times New Roman"/>
          <w:b w:val="false"/>
          <w:i w:val="false"/>
          <w:color w:val="000000"/>
          <w:sz w:val="28"/>
        </w:rPr>
        <w:t>).</w:t>
      </w:r>
    </w:p>
    <w:bookmarkEnd w:id="123"/>
    <w:bookmarkStart w:name="z136" w:id="124"/>
    <w:p>
      <w:pPr>
        <w:spacing w:after="0"/>
        <w:ind w:left="0"/>
        <w:jc w:val="both"/>
      </w:pPr>
      <w:r>
        <w:rPr>
          <w:rFonts w:ascii="Times New Roman"/>
          <w:b w:val="false"/>
          <w:i w:val="false"/>
          <w:color w:val="000000"/>
          <w:sz w:val="28"/>
        </w:rPr>
        <w:t xml:space="preserve">
      Необходимо перечислять НПР в порядке уменьшения частоты развития НПР, при этом в начале раздела приводится классификация показателей частоты развития НПР, рекомендованной ВОЗ (см. </w:t>
      </w:r>
      <w:r>
        <w:rPr>
          <w:rFonts w:ascii="Times New Roman"/>
          <w:b w:val="false"/>
          <w:i w:val="false"/>
          <w:color w:val="000000"/>
          <w:sz w:val="28"/>
        </w:rPr>
        <w:t>Приложение 3</w:t>
      </w:r>
      <w:r>
        <w:rPr>
          <w:rFonts w:ascii="Times New Roman"/>
          <w:b w:val="false"/>
          <w:i w:val="false"/>
          <w:color w:val="000000"/>
          <w:sz w:val="28"/>
        </w:rPr>
        <w:t>).</w:t>
      </w:r>
    </w:p>
    <w:bookmarkEnd w:id="124"/>
    <w:bookmarkStart w:name="z137" w:id="125"/>
    <w:p>
      <w:pPr>
        <w:spacing w:after="0"/>
        <w:ind w:left="0"/>
        <w:jc w:val="both"/>
      </w:pPr>
      <w:r>
        <w:rPr>
          <w:rFonts w:ascii="Times New Roman"/>
          <w:b w:val="false"/>
          <w:i w:val="false"/>
          <w:color w:val="000000"/>
          <w:sz w:val="28"/>
        </w:rPr>
        <w:t>
      При перечислении НПР следует руководствоваться МКБ или терминологией НПР, рекомендованной ВОЗ, MedDRA (медицинский словарь для нормативно-правовой деятельности) с объяснением специфичных терминов для пациента. Приводится список НПР в виде указания отдельных симптомов, синдромов, нозологических форм и/или суммарного диагноза НПР с перечислением отдельных симптомов.</w:t>
      </w:r>
    </w:p>
    <w:bookmarkEnd w:id="125"/>
    <w:bookmarkStart w:name="z138" w:id="126"/>
    <w:p>
      <w:pPr>
        <w:spacing w:after="0"/>
        <w:ind w:left="0"/>
        <w:jc w:val="both"/>
      </w:pPr>
      <w:r>
        <w:rPr>
          <w:rFonts w:ascii="Times New Roman"/>
          <w:b w:val="false"/>
          <w:i w:val="false"/>
          <w:color w:val="000000"/>
          <w:sz w:val="28"/>
        </w:rPr>
        <w:t>
      Необходимо указать возможные последствия отклонения от методов и путей введения и указать, какие при этом могут развиваться НПР.</w:t>
      </w:r>
    </w:p>
    <w:bookmarkEnd w:id="126"/>
    <w:bookmarkStart w:name="z139" w:id="127"/>
    <w:p>
      <w:pPr>
        <w:spacing w:after="0"/>
        <w:ind w:left="0"/>
        <w:jc w:val="both"/>
      </w:pPr>
      <w:r>
        <w:rPr>
          <w:rFonts w:ascii="Times New Roman"/>
          <w:b w:val="false"/>
          <w:i w:val="false"/>
          <w:color w:val="000000"/>
          <w:sz w:val="28"/>
        </w:rPr>
        <w:t>
      Перечисляются основные способы и методы предотвращения и лечения НПР, тактика поведения, в т.ч. пациентов при возникновении НПР (медикаментозные и др.), факторы, которые могли бы повлиять на развитие НПР, включая основные и сопутствующие заболевания.</w:t>
      </w:r>
    </w:p>
    <w:bookmarkEnd w:id="127"/>
    <w:bookmarkStart w:name="z140" w:id="128"/>
    <w:p>
      <w:pPr>
        <w:spacing w:after="0"/>
        <w:ind w:left="0"/>
        <w:jc w:val="both"/>
      </w:pPr>
      <w:r>
        <w:rPr>
          <w:rFonts w:ascii="Times New Roman"/>
          <w:b w:val="false"/>
          <w:i w:val="false"/>
          <w:color w:val="000000"/>
          <w:sz w:val="28"/>
        </w:rPr>
        <w:t>
      В данном разделе рекомендуется подробно описывать все состояния, при которых пациент должен обратиться к врачу (например, не ограничиваться термином "агранулоцитоз" или "гипогликемия", а дополнительно указать их проявления доступным для пациента языком); по возможности объяснять специальные термины.</w:t>
      </w:r>
    </w:p>
    <w:bookmarkEnd w:id="128"/>
    <w:bookmarkStart w:name="z141" w:id="129"/>
    <w:p>
      <w:pPr>
        <w:spacing w:after="0"/>
        <w:ind w:left="0"/>
        <w:jc w:val="both"/>
      </w:pPr>
      <w:r>
        <w:rPr>
          <w:rFonts w:ascii="Times New Roman"/>
          <w:b w:val="false"/>
          <w:i w:val="false"/>
          <w:color w:val="000000"/>
          <w:sz w:val="28"/>
        </w:rPr>
        <w:t xml:space="preserve">
      В данном разделе обязательно приводится указание пациенту о необходимых действиях в случае развития тех или иных НПР перечисленных в данном разделе (обращение к врачу, отмена препарата, вызов скорой помощи и т.п.). Указания должны быть адекватны степени риска для здоровья пациента при возникновении той или иной НПР ("срочно/немедленно/как можно скорее </w:t>
      </w:r>
      <w:r>
        <w:rPr>
          <w:rFonts w:ascii="Times New Roman"/>
          <w:b/>
          <w:i w:val="false"/>
          <w:color w:val="000000"/>
          <w:sz w:val="28"/>
        </w:rPr>
        <w:t>обратитесь к врачу</w:t>
      </w:r>
      <w:r>
        <w:rPr>
          <w:rFonts w:ascii="Times New Roman"/>
          <w:b w:val="false"/>
          <w:i w:val="false"/>
          <w:color w:val="000000"/>
          <w:sz w:val="28"/>
        </w:rPr>
        <w:t>"). Указания должны быть выделены жирным шрифтом.</w:t>
      </w:r>
    </w:p>
    <w:bookmarkEnd w:id="129"/>
    <w:bookmarkStart w:name="z142" w:id="130"/>
    <w:p>
      <w:pPr>
        <w:spacing w:after="0"/>
        <w:ind w:left="0"/>
        <w:jc w:val="both"/>
      </w:pPr>
      <w:r>
        <w:rPr>
          <w:rFonts w:ascii="Times New Roman"/>
          <w:b w:val="false"/>
          <w:i w:val="false"/>
          <w:color w:val="000000"/>
          <w:sz w:val="28"/>
        </w:rPr>
        <w:t xml:space="preserve">
      В конце раздела должна быть фраза "Если любые из указанных в инструкции побочных эффектов усугубляются, или Вы заметили любые другие побочные эффекты не указанные в инструкции, </w:t>
      </w:r>
      <w:r>
        <w:rPr>
          <w:rFonts w:ascii="Times New Roman"/>
          <w:b/>
          <w:i w:val="false"/>
          <w:color w:val="000000"/>
          <w:sz w:val="28"/>
        </w:rPr>
        <w:t>сообщите об этом врачу".</w:t>
      </w:r>
    </w:p>
    <w:bookmarkEnd w:id="130"/>
    <w:bookmarkStart w:name="z143" w:id="1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Противопоказания для медицинского применения: </w:t>
      </w:r>
      <w:r>
        <w:rPr>
          <w:rFonts w:ascii="Times New Roman"/>
          <w:b w:val="false"/>
          <w:i w:val="false"/>
          <w:color w:val="000000"/>
          <w:sz w:val="28"/>
        </w:rPr>
        <w:t>приводится перечень заболеваний согласно МКБ или состояний, демографических факторов (пол, возраст), факторов предрасположенности (в т.ч. иммунологические или метаболические факторы, предшествующие нежелательные реакции на ЛП аналогичного класса), при которых применение ЛП противопоказано.</w:t>
      </w:r>
    </w:p>
    <w:bookmarkEnd w:id="131"/>
    <w:bookmarkStart w:name="z144" w:id="132"/>
    <w:p>
      <w:pPr>
        <w:spacing w:after="0"/>
        <w:ind w:left="0"/>
        <w:jc w:val="both"/>
      </w:pPr>
      <w:r>
        <w:rPr>
          <w:rFonts w:ascii="Times New Roman"/>
          <w:b w:val="false"/>
          <w:i w:val="false"/>
          <w:color w:val="000000"/>
          <w:sz w:val="28"/>
        </w:rPr>
        <w:t>
      Если ЛП или конкретная лекарственная форма не предназначены дляприменения у детей, обязательно указывают ограничения по возрасту.Допускается использование следующих формулировок: "X не рекомендуется для применения у детей в возрасте до (старше) Y лет в связи отсутствием (недостаточностью) данных по эффективности и безопасности", "Опыт медицинского применения у детей ограничен (отсутствует)", "Не имеется обоснованных показаний для применения X у детей", "X противопоказан для применения в педиатрической практике", "X в данной лекарственной форме не рекомендуется для применения у детей в возрасте до (старше) Y лет". Данные указания должны быть выделены в тексте инструкции с использованием визуальных средств.</w:t>
      </w:r>
    </w:p>
    <w:bookmarkEnd w:id="132"/>
    <w:bookmarkStart w:name="z145" w:id="133"/>
    <w:p>
      <w:pPr>
        <w:spacing w:after="0"/>
        <w:ind w:left="0"/>
        <w:jc w:val="both"/>
      </w:pPr>
      <w:r>
        <w:rPr>
          <w:rFonts w:ascii="Times New Roman"/>
          <w:b w:val="false"/>
          <w:i w:val="false"/>
          <w:color w:val="000000"/>
          <w:sz w:val="28"/>
        </w:rPr>
        <w:t>
      В данном разделе обязательно приводится указание пациенту о необходимости обратиться к врачу перед началом приема ЛП, в случае наличия у него заболеваний, перечисленных в данном разделе ("Если у Вас одно из перечисленных заболеваний, перед приемом препарата обязательно проконсультируйтесь с врачом".).</w:t>
      </w:r>
    </w:p>
    <w:bookmarkEnd w:id="133"/>
    <w:bookmarkStart w:name="z146" w:id="134"/>
    <w:p>
      <w:pPr>
        <w:spacing w:after="0"/>
        <w:ind w:left="0"/>
        <w:jc w:val="both"/>
      </w:pPr>
      <w:r>
        <w:rPr>
          <w:rFonts w:ascii="Times New Roman"/>
          <w:b w:val="false"/>
          <w:i w:val="false"/>
          <w:color w:val="000000"/>
          <w:sz w:val="28"/>
        </w:rPr>
        <w:t>
      Следует подробно описывать состояния, при которых пациент должен обратиться к врачу (например, не ограничиваться термином "агранулоцитоз" или "гипогликемия", а дополнительно указать их проявления доступным для пациента языком); по возможности объяснять специальные термины.</w:t>
      </w:r>
    </w:p>
    <w:bookmarkEnd w:id="134"/>
    <w:bookmarkStart w:name="z147" w:id="135"/>
    <w:p>
      <w:pPr>
        <w:spacing w:after="0"/>
        <w:ind w:left="0"/>
        <w:jc w:val="both"/>
      </w:pPr>
      <w:r>
        <w:rPr>
          <w:rFonts w:ascii="Times New Roman"/>
          <w:b w:val="false"/>
          <w:i w:val="false"/>
          <w:color w:val="000000"/>
          <w:sz w:val="28"/>
        </w:rPr>
        <w:t>
      В данном поле указывают заболевания, при которых противопоказано применение некоторых вспомогательных веществ, входящих в состав ЛП (например, этанол, лактоза, аспартам, сульфиты, бензалкония хлорид и др.).</w:t>
      </w:r>
    </w:p>
    <w:bookmarkEnd w:id="135"/>
    <w:bookmarkStart w:name="z148" w:id="1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Меры предосторожности при медицинском применении: </w:t>
      </w:r>
      <w:r>
        <w:rPr>
          <w:rFonts w:ascii="Times New Roman"/>
          <w:b w:val="false"/>
          <w:i w:val="false"/>
          <w:color w:val="000000"/>
          <w:sz w:val="28"/>
        </w:rPr>
        <w:t>приводится перечень заболеваний согласно МКБ или состояний, при которых применение ЛП ограничивается, т.е. относительные противопоказания, под которыми понимают, что частота и/или тяжесть развития нежелательных эффектов, связанных с применением ЛП у пациента с данными заболеваниями достоверно превышает частоту или тяжесть развития этих нежелательных эффектов после приема этого же ЛП в популяции в целом.</w:t>
      </w:r>
    </w:p>
    <w:bookmarkEnd w:id="136"/>
    <w:bookmarkStart w:name="z149" w:id="137"/>
    <w:p>
      <w:pPr>
        <w:spacing w:after="0"/>
        <w:ind w:left="0"/>
        <w:jc w:val="both"/>
      </w:pPr>
      <w:r>
        <w:rPr>
          <w:rFonts w:ascii="Times New Roman"/>
          <w:b w:val="false"/>
          <w:i w:val="false"/>
          <w:color w:val="000000"/>
          <w:sz w:val="28"/>
        </w:rPr>
        <w:t>
      Не допускается использование общих выражений типа: "заболевания сердца", "заболевания крови" и т.п. без указания названий конкретных заболеваний согласно МКБ.</w:t>
      </w:r>
    </w:p>
    <w:bookmarkEnd w:id="137"/>
    <w:bookmarkStart w:name="z150" w:id="138"/>
    <w:p>
      <w:pPr>
        <w:spacing w:after="0"/>
        <w:ind w:left="0"/>
        <w:jc w:val="both"/>
      </w:pPr>
      <w:r>
        <w:rPr>
          <w:rFonts w:ascii="Times New Roman"/>
          <w:b w:val="false"/>
          <w:i w:val="false"/>
          <w:color w:val="000000"/>
          <w:sz w:val="28"/>
        </w:rPr>
        <w:t>
      В данном разделе обязательно приводится указание пациенту о необходимости обратиться к врачу перед началом приема ЛП, в случае наличия у него заболеваний, перечисленных в данном поле ("Если у Вас одно из перечисленных заболеваний перед приемом ЛП обязательно проконсультируйтесь с врачом".).</w:t>
      </w:r>
    </w:p>
    <w:bookmarkEnd w:id="138"/>
    <w:bookmarkStart w:name="z151" w:id="13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Симптомы передозировки, меры по оказанию помощи </w:t>
      </w:r>
      <w:r>
        <w:rPr>
          <w:rFonts w:ascii="Times New Roman"/>
          <w:b/>
          <w:i w:val="false"/>
          <w:color w:val="000000"/>
          <w:sz w:val="28"/>
        </w:rPr>
        <w:t>припередозировке</w:t>
      </w: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i w:val="false"/>
          <w:color w:val="000000"/>
          <w:sz w:val="28"/>
        </w:rPr>
        <w:t>:</w:t>
      </w:r>
      <w:r>
        <w:rPr>
          <w:rFonts w:ascii="Times New Roman"/>
          <w:b w:val="false"/>
          <w:i w:val="false"/>
          <w:color w:val="000000"/>
          <w:sz w:val="28"/>
        </w:rPr>
        <w:t xml:space="preserve"> приводятся признаки (краткое клиническое описаниесимптомов и/или синдромов) и методы оказания медицинской помощи приострой (в т.ч. при случайном приеме ЛП) или хронической интоксикации на догоспитальном этапе, тактику поведения пациента и его окружающих.Возможные способы предупреждения дальнейшего всасывания препарата.Указанные признаки и тактика поведения на догоспитальном этапе должныбыть изложены доступным для пациента языком с объяснением специальных терминов (например, не ограничиваться термином "агранулоцитоз" или "гипогликемия", а дополнительно указать их проявления доступным для пациента языком).</w:t>
      </w:r>
    </w:p>
    <w:bookmarkEnd w:id="139"/>
    <w:p>
      <w:pPr>
        <w:spacing w:after="0"/>
        <w:ind w:left="0"/>
        <w:jc w:val="both"/>
      </w:pPr>
      <w:r>
        <w:rPr>
          <w:rFonts w:ascii="Times New Roman"/>
          <w:b w:val="false"/>
          <w:i w:val="false"/>
          <w:color w:val="000000"/>
          <w:sz w:val="28"/>
        </w:rPr>
        <w:t>
      При наличии особенностей указываются симптомы передозировки у детей и лиц в возрасте старше 60 лет, а также у лиц с нарушением функции печени и почек.</w:t>
      </w:r>
    </w:p>
    <w:bookmarkStart w:name="z152" w:id="140"/>
    <w:p>
      <w:pPr>
        <w:spacing w:after="0"/>
        <w:ind w:left="0"/>
        <w:jc w:val="both"/>
      </w:pPr>
      <w:r>
        <w:rPr>
          <w:rFonts w:ascii="Times New Roman"/>
          <w:b w:val="false"/>
          <w:i w:val="false"/>
          <w:color w:val="000000"/>
          <w:sz w:val="28"/>
        </w:rPr>
        <w:t>
      Далее приводятся специфические антидоты (если есть) и эффективные методы лечения.</w:t>
      </w:r>
    </w:p>
    <w:bookmarkEnd w:id="140"/>
    <w:bookmarkStart w:name="z153" w:id="14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Указание особенностей действия лекарственного препарата: </w:t>
      </w:r>
      <w:r>
        <w:rPr>
          <w:rFonts w:ascii="Times New Roman"/>
          <w:b w:val="false"/>
          <w:i w:val="false"/>
          <w:color w:val="000000"/>
          <w:sz w:val="28"/>
        </w:rPr>
        <w:t>раздел вводится при необходимости, если для конкретного ЛП имеются некоторые особенности применения, не предусмотренные др. разделами.</w:t>
      </w:r>
    </w:p>
    <w:bookmarkEnd w:id="141"/>
    <w:bookmarkStart w:name="z154" w:id="142"/>
    <w:p>
      <w:pPr>
        <w:spacing w:after="0"/>
        <w:ind w:left="0"/>
        <w:jc w:val="both"/>
      </w:pPr>
      <w:r>
        <w:rPr>
          <w:rFonts w:ascii="Times New Roman"/>
          <w:b w:val="false"/>
          <w:i w:val="false"/>
          <w:color w:val="000000"/>
          <w:sz w:val="28"/>
        </w:rPr>
        <w:t>
      Указывают условия, при которых ЛП может изменять свои свойства и вытекающие из этого особенности его применения для определенной категории людей (фармакогенетический фактор, профессиональные вредности). Приводят сведения относительно особого риска связанного с началом терапии ("эффект первой дозы") или внезапным прекращением ее ("синдром отмены" или "синдром рикошета"), а также информацию для пациента по предотвращению развития данных нежелательных реакций.</w:t>
      </w:r>
    </w:p>
    <w:bookmarkEnd w:id="142"/>
    <w:bookmarkStart w:name="z155" w:id="143"/>
    <w:p>
      <w:pPr>
        <w:spacing w:after="0"/>
        <w:ind w:left="0"/>
        <w:jc w:val="both"/>
      </w:pPr>
      <w:r>
        <w:rPr>
          <w:rFonts w:ascii="Times New Roman"/>
          <w:b w:val="false"/>
          <w:i w:val="false"/>
          <w:color w:val="000000"/>
          <w:sz w:val="28"/>
        </w:rPr>
        <w:t>
      Приводят сведения, требующие внимания врача и пациента, например, необходимость проведения клинико-лабораторных исследований в период лечения для своевременного выявления нежелательного действия ЛП или определения противопоказаний к началу (продолжению) лечения; способность ЛП изменить поведение или функциональные и клинические лабораторные показатели организма, что может потребовать соблюдения определенного режима или ограничений профессиональной деятельности.</w:t>
      </w:r>
    </w:p>
    <w:bookmarkEnd w:id="143"/>
    <w:bookmarkStart w:name="z156" w:id="144"/>
    <w:p>
      <w:pPr>
        <w:spacing w:after="0"/>
        <w:ind w:left="0"/>
        <w:jc w:val="both"/>
      </w:pPr>
      <w:r>
        <w:rPr>
          <w:rFonts w:ascii="Times New Roman"/>
          <w:b w:val="false"/>
          <w:i w:val="false"/>
          <w:color w:val="000000"/>
          <w:sz w:val="28"/>
        </w:rPr>
        <w:t>
      Приводят предупреждения и сведения связанные со вспомогательными веществами или растворителями, которые используются в процессе производства или приготовления ЛП непосредственно перед применением.</w:t>
      </w:r>
    </w:p>
    <w:bookmarkEnd w:id="144"/>
    <w:bookmarkStart w:name="z157" w:id="145"/>
    <w:p>
      <w:pPr>
        <w:spacing w:after="0"/>
        <w:ind w:left="0"/>
        <w:jc w:val="both"/>
      </w:pPr>
      <w:r>
        <w:rPr>
          <w:rFonts w:ascii="Times New Roman"/>
          <w:b w:val="false"/>
          <w:i w:val="false"/>
          <w:color w:val="000000"/>
          <w:sz w:val="28"/>
        </w:rPr>
        <w:t>
      Обязательно указывают на возможность отрицательного влияния ЛП на выполнение потенциально опасных видов деятельности, требующих особого внимания и быстрых реакций (управление автомобилем и др. транспортными средствами, работа с движущимися механизмами, работа диспетчера и оператора и т.п.).</w:t>
      </w:r>
    </w:p>
    <w:bookmarkEnd w:id="145"/>
    <w:bookmarkStart w:name="z159" w:id="146"/>
    <w:p>
      <w:pPr>
        <w:spacing w:after="0"/>
        <w:ind w:left="0"/>
        <w:jc w:val="both"/>
      </w:pPr>
      <w:r>
        <w:rPr>
          <w:rFonts w:ascii="Times New Roman"/>
          <w:b w:val="false"/>
          <w:i w:val="false"/>
          <w:color w:val="000000"/>
          <w:sz w:val="28"/>
        </w:rPr>
        <w:t>
      Кроме того, инструкция для медицинского применения радиофармацевтического препарата должна содержать описание всех мер безопасности, которых должны придерживаться медицинские работники и пациенты во время приготовления и использования ЛП, а также специальные меры безопасности по утилизации упаковки или ее неиспользованного содержимого.</w:t>
      </w:r>
    </w:p>
    <w:bookmarkEnd w:id="146"/>
    <w:bookmarkStart w:name="z160" w:id="147"/>
    <w:p>
      <w:pPr>
        <w:spacing w:after="0"/>
        <w:ind w:left="0"/>
        <w:jc w:val="both"/>
      </w:pPr>
      <w:r>
        <w:rPr>
          <w:rFonts w:ascii="Times New Roman"/>
          <w:b w:val="false"/>
          <w:i w:val="false"/>
          <w:color w:val="000000"/>
          <w:sz w:val="28"/>
        </w:rPr>
        <w:t xml:space="preserve">
      </w:t>
      </w:r>
      <w:r>
        <w:rPr>
          <w:rFonts w:ascii="Times New Roman"/>
          <w:b/>
          <w:i w:val="false"/>
          <w:color w:val="000000"/>
          <w:sz w:val="28"/>
        </w:rPr>
        <w:t>Взаимодействие с другими лекарственными препаратами или пищевыми продуктами</w:t>
      </w:r>
      <w:r>
        <w:rPr>
          <w:rFonts w:ascii="Times New Roman"/>
          <w:b w:val="false"/>
          <w:i w:val="false"/>
          <w:color w:val="000000"/>
          <w:vertAlign w:val="superscript"/>
        </w:rPr>
        <w:t>8</w:t>
      </w:r>
      <w:r>
        <w:rPr>
          <w:rFonts w:ascii="Times New Roman"/>
          <w:b/>
          <w:i w:val="false"/>
          <w:color w:val="000000"/>
          <w:sz w:val="28"/>
        </w:rPr>
        <w:t xml:space="preserve">: </w:t>
      </w:r>
      <w:r>
        <w:rPr>
          <w:rFonts w:ascii="Times New Roman"/>
          <w:b w:val="false"/>
          <w:i w:val="false"/>
          <w:color w:val="000000"/>
          <w:sz w:val="28"/>
        </w:rPr>
        <w:t>желательно максимально полно отобразить сведения, которые касаются взаимодействия (клинически значимого) с др. ЛП, и особенно, возможные отрицательные интегрированные эффекты. Данный раздел инструкции должен базироваться на результатах клинических исследований ЛП in vivo. Результаты взаимодействия, установленные в исследованиях in vitro или на основе анализа теоретических предпосылок, указываются только в случае, если они влекут за собой изменение режима дозирования (при этом делается перекрестная ссылка на соответствующее поле инструкции). По возможности указывают механизм взаимодействия.</w:t>
      </w:r>
    </w:p>
    <w:bookmarkEnd w:id="147"/>
    <w:bookmarkStart w:name="z161" w:id="148"/>
    <w:p>
      <w:pPr>
        <w:spacing w:after="0"/>
        <w:ind w:left="0"/>
        <w:jc w:val="both"/>
      </w:pPr>
      <w:r>
        <w:rPr>
          <w:rFonts w:ascii="Times New Roman"/>
          <w:b w:val="false"/>
          <w:i w:val="false"/>
          <w:color w:val="000000"/>
          <w:sz w:val="28"/>
        </w:rPr>
        <w:t>
      Для более четкого использования информации ее желательно разделить на виды взаимодействия, которые приводятся ниже:</w:t>
      </w:r>
    </w:p>
    <w:bookmarkEnd w:id="148"/>
    <w:bookmarkStart w:name="z162" w:id="14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фармацевтическое – </w:t>
      </w:r>
      <w:r>
        <w:rPr>
          <w:rFonts w:ascii="Times New Roman"/>
          <w:b w:val="false"/>
          <w:i w:val="false"/>
          <w:color w:val="000000"/>
          <w:sz w:val="28"/>
        </w:rPr>
        <w:t>указываются химические, физические или физико-химические несовместимости, недопустимые комбинации (смешивание в одном порошке, растворе, применение в одном шприце и т. д.);</w:t>
      </w:r>
    </w:p>
    <w:bookmarkEnd w:id="149"/>
    <w:bookmarkStart w:name="z163" w:id="15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фармакокинетическое </w:t>
      </w:r>
      <w:r>
        <w:rPr>
          <w:rFonts w:ascii="Times New Roman"/>
          <w:b w:val="false"/>
          <w:i w:val="false"/>
          <w:color w:val="000000"/>
          <w:sz w:val="28"/>
        </w:rPr>
        <w:t>– изменение кинетики одного или всеходновременно применяемых лекарственных веществ, на разнообразныхуровнях его (их) пребывания в организме - всасывание, распределение,связывание с белками, метаболизм, выведение и др.</w:t>
      </w:r>
    </w:p>
    <w:bookmarkEnd w:id="150"/>
    <w:bookmarkStart w:name="z164" w:id="15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фармакодинамическое – </w:t>
      </w:r>
      <w:r>
        <w:rPr>
          <w:rFonts w:ascii="Times New Roman"/>
          <w:b w:val="false"/>
          <w:i w:val="false"/>
          <w:color w:val="000000"/>
          <w:sz w:val="28"/>
        </w:rPr>
        <w:t>указываются изменения фармакологического эффекта одного или нескольких ЛП при их одновременном применении, которые проявляются в суммировании эффекта, синергизме или антагонизме.</w:t>
      </w:r>
    </w:p>
    <w:bookmarkEnd w:id="151"/>
    <w:bookmarkStart w:name="z165" w:id="152"/>
    <w:p>
      <w:pPr>
        <w:spacing w:after="0"/>
        <w:ind w:left="0"/>
        <w:jc w:val="both"/>
      </w:pPr>
      <w:r>
        <w:rPr>
          <w:rFonts w:ascii="Times New Roman"/>
          <w:b w:val="false"/>
          <w:i w:val="false"/>
          <w:color w:val="000000"/>
          <w:sz w:val="28"/>
        </w:rPr>
        <w:t>
      В данном разделе отражают условия взаимодействия ЛП с некоторыми продуктами питания и алкогольными напитками, которые могут частично изменить свойства ЛП (биодоступность, метаболизм, продолжительность эффекта, токсические свойства, процесс выведения из организма и т.п.).</w:t>
      </w:r>
    </w:p>
    <w:bookmarkEnd w:id="152"/>
    <w:bookmarkStart w:name="z166" w:id="153"/>
    <w:p>
      <w:pPr>
        <w:spacing w:after="0"/>
        <w:ind w:left="0"/>
        <w:jc w:val="both"/>
      </w:pPr>
      <w:r>
        <w:rPr>
          <w:rFonts w:ascii="Times New Roman"/>
          <w:b w:val="false"/>
          <w:i w:val="false"/>
          <w:color w:val="000000"/>
          <w:sz w:val="28"/>
        </w:rPr>
        <w:t>
      Необходимо обратить внимание пациента на необходимость консультации с врачом, в том случае, если он принимает другие ЛП.</w:t>
      </w:r>
    </w:p>
    <w:bookmarkEnd w:id="153"/>
    <w:bookmarkStart w:name="z167" w:id="15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Указание возможности и особенностей медицинского применения лекарственного препарата беременными женщинами, женщинами в период грудного вскармливания: </w:t>
      </w:r>
      <w:r>
        <w:rPr>
          <w:rFonts w:ascii="Times New Roman"/>
          <w:b w:val="false"/>
          <w:i w:val="false"/>
          <w:color w:val="000000"/>
          <w:sz w:val="28"/>
        </w:rPr>
        <w:t>помещают информацию о возможности применения или не применения ЛП при беременности и в период грудного вскармливания ребенка.</w:t>
      </w:r>
    </w:p>
    <w:bookmarkEnd w:id="154"/>
    <w:bookmarkStart w:name="z168" w:id="155"/>
    <w:p>
      <w:pPr>
        <w:spacing w:after="0"/>
        <w:ind w:left="0"/>
        <w:jc w:val="both"/>
      </w:pPr>
      <w:r>
        <w:rPr>
          <w:rFonts w:ascii="Times New Roman"/>
          <w:b w:val="false"/>
          <w:i w:val="false"/>
          <w:color w:val="000000"/>
          <w:sz w:val="28"/>
        </w:rPr>
        <w:t>
      Информация относительно противопоказания при беременности и лактации должна быть подтверждена данными, полученными у человека (тератогенность или фетотоксичность), либо конкретными результатами доклинических исследований. Информация о возможности применения должна сопровождаться указанием триместра беременности.</w:t>
      </w:r>
    </w:p>
    <w:bookmarkEnd w:id="155"/>
    <w:bookmarkStart w:name="z170" w:id="156"/>
    <w:p>
      <w:pPr>
        <w:spacing w:after="0"/>
        <w:ind w:left="0"/>
        <w:jc w:val="both"/>
      </w:pPr>
      <w:r>
        <w:rPr>
          <w:rFonts w:ascii="Times New Roman"/>
          <w:b w:val="false"/>
          <w:i w:val="false"/>
          <w:color w:val="000000"/>
          <w:sz w:val="28"/>
        </w:rPr>
        <w:t>
      Информация относительно возможности применения в период грудного вскармливания должна сопровождаться сведениями относительно экскреции активного вещества или его метаболитов в грудное молоко, соотношения концентрации ЛП или его компонентов в молоке/сыворотке крови, полученными в исследованиях у человека. Данные, полученные в исследованиях на животных, могут использоваться только при отсутствии результатов испытаний у человека. В случае дублирования информации в разделах "Противопоказания", "С осторожностью" и др. делаются перекрестные ссылки.</w:t>
      </w:r>
    </w:p>
    <w:bookmarkEnd w:id="156"/>
    <w:bookmarkStart w:name="z171" w:id="157"/>
    <w:p>
      <w:pPr>
        <w:spacing w:after="0"/>
        <w:ind w:left="0"/>
        <w:jc w:val="both"/>
      </w:pPr>
      <w:r>
        <w:rPr>
          <w:rFonts w:ascii="Times New Roman"/>
          <w:b w:val="false"/>
          <w:i w:val="false"/>
          <w:color w:val="000000"/>
          <w:sz w:val="28"/>
        </w:rPr>
        <w:t>
      При применении радиофармацевтических препаратов с диагностической или терапевтической целью у кормящих женщин указывают, на какой срок должно быть приостановлено кормление грудью, что обусловлено временем выведения радиофармацевтического препарата.</w:t>
      </w:r>
    </w:p>
    <w:bookmarkEnd w:id="157"/>
    <w:bookmarkStart w:name="z172" w:id="158"/>
    <w:p>
      <w:pPr>
        <w:spacing w:after="0"/>
        <w:ind w:left="0"/>
        <w:jc w:val="both"/>
      </w:pPr>
      <w:r>
        <w:rPr>
          <w:rFonts w:ascii="Times New Roman"/>
          <w:b w:val="false"/>
          <w:i w:val="false"/>
          <w:color w:val="000000"/>
          <w:sz w:val="28"/>
        </w:rPr>
        <w:t>
      Помещают информацию о необходимости соблюдения мер контрацепции в период лечения данным ЛП, а также информацией по влиянию на фертильность.</w:t>
      </w:r>
    </w:p>
    <w:bookmarkEnd w:id="158"/>
    <w:bookmarkStart w:name="z173" w:id="15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Срок годности/срок хранения: </w:t>
      </w:r>
      <w:r>
        <w:rPr>
          <w:rFonts w:ascii="Times New Roman"/>
          <w:b w:val="false"/>
          <w:i w:val="false"/>
          <w:color w:val="000000"/>
          <w:sz w:val="28"/>
        </w:rPr>
        <w:t>Обязательно отдельной строкой дается указание, что ЛП не должен применяться по истечении срока годности, указанного на упаковке. Если предусмотрено законодательством государства-члена Таможенного союза указывают срок годности/срок хранения препарата.</w:t>
      </w:r>
    </w:p>
    <w:bookmarkEnd w:id="159"/>
    <w:bookmarkStart w:name="z174" w:id="160"/>
    <w:p>
      <w:pPr>
        <w:spacing w:after="0"/>
        <w:ind w:left="0"/>
        <w:jc w:val="both"/>
      </w:pPr>
      <w:r>
        <w:rPr>
          <w:rFonts w:ascii="Times New Roman"/>
          <w:b w:val="false"/>
          <w:i w:val="false"/>
          <w:color w:val="000000"/>
          <w:sz w:val="28"/>
        </w:rPr>
        <w:t>
      Для радиофармацевтических препаратов (при необходимости и ЛП других групп), следует указать, имеются ли какие-либо специальные условия утилизации препарата, в т.ч. неиспользованного или с истекшим сроком годности.</w:t>
      </w:r>
    </w:p>
    <w:bookmarkEnd w:id="160"/>
    <w:bookmarkStart w:name="z175" w:id="16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Условия хранения: </w:t>
      </w:r>
      <w:r>
        <w:rPr>
          <w:rFonts w:ascii="Times New Roman"/>
          <w:b w:val="false"/>
          <w:i w:val="false"/>
          <w:color w:val="000000"/>
          <w:sz w:val="28"/>
        </w:rPr>
        <w:t>в соответствии с нормативной документацией по контролю качества указываются условия окружающей среды, которые обеспечивают сохранение качества ЛП (при необходимости приготовленной лекарственной формы (например, суспензии) и после первого вскрытия первичной упаковки) в течение срока годности/срока хранения (температура, защита от света, др. параметры и условия).</w:t>
      </w:r>
    </w:p>
    <w:bookmarkEnd w:id="161"/>
    <w:bookmarkStart w:name="z176" w:id="162"/>
    <w:p>
      <w:pPr>
        <w:spacing w:after="0"/>
        <w:ind w:left="0"/>
        <w:jc w:val="both"/>
      </w:pPr>
      <w:r>
        <w:rPr>
          <w:rFonts w:ascii="Times New Roman"/>
          <w:b w:val="false"/>
          <w:i w:val="false"/>
          <w:color w:val="000000"/>
          <w:sz w:val="28"/>
        </w:rPr>
        <w:t>
      Для отдельных категорий ЛП (кровезаменители, растворы для инъекций и др.) целесообразно указать очевидные признаки утраты качества при не надлежащем хранении (выпадение осадка, изменение цвета и др.) с указанием о недопустимости их применения в этом случае.</w:t>
      </w:r>
    </w:p>
    <w:bookmarkEnd w:id="162"/>
    <w:bookmarkStart w:name="z177" w:id="163"/>
    <w:p>
      <w:pPr>
        <w:spacing w:after="0"/>
        <w:ind w:left="0"/>
        <w:jc w:val="both"/>
      </w:pPr>
      <w:r>
        <w:rPr>
          <w:rFonts w:ascii="Times New Roman"/>
          <w:b w:val="false"/>
          <w:i w:val="false"/>
          <w:color w:val="000000"/>
          <w:sz w:val="28"/>
        </w:rPr>
        <w:t>
      Обязательно отдельной строкой дается указание, что лекарственный препарат следует хранить в местах, недоступных для детей.</w:t>
      </w:r>
    </w:p>
    <w:bookmarkEnd w:id="163"/>
    <w:bookmarkStart w:name="z178" w:id="16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Условия отпуска: </w:t>
      </w:r>
      <w:r>
        <w:rPr>
          <w:rFonts w:ascii="Times New Roman"/>
          <w:b w:val="false"/>
          <w:i w:val="false"/>
          <w:color w:val="000000"/>
          <w:sz w:val="28"/>
        </w:rPr>
        <w:t>указывают – "По рецепту"; "Без рецепта".</w:t>
      </w:r>
    </w:p>
    <w:bookmarkEnd w:id="164"/>
    <w:bookmarkStart w:name="z179" w:id="165"/>
    <w:p>
      <w:pPr>
        <w:spacing w:after="0"/>
        <w:ind w:left="0"/>
        <w:jc w:val="both"/>
      </w:pPr>
      <w:r>
        <w:rPr>
          <w:rFonts w:ascii="Times New Roman"/>
          <w:b w:val="false"/>
          <w:i w:val="false"/>
          <w:color w:val="000000"/>
          <w:sz w:val="28"/>
        </w:rPr>
        <w:t xml:space="preserve">
      </w:t>
      </w:r>
      <w:r>
        <w:rPr>
          <w:rFonts w:ascii="Times New Roman"/>
          <w:b/>
          <w:i w:val="false"/>
          <w:color w:val="000000"/>
          <w:sz w:val="28"/>
        </w:rPr>
        <w:t>Юридическое лицо, на имя которого выдано регистрационное удостоверение.</w:t>
      </w:r>
    </w:p>
    <w:bookmarkEnd w:id="165"/>
    <w:bookmarkStart w:name="z180" w:id="16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Информация об организациях, в которые могут быть направлены претензии по качеству лекарственного препарата (наименование организации, телефон, факс, </w:t>
      </w:r>
      <w:r>
        <w:rPr>
          <w:rFonts w:ascii="Times New Roman"/>
          <w:b/>
          <w:i w:val="false"/>
          <w:color w:val="000000"/>
          <w:sz w:val="28"/>
        </w:rPr>
        <w:t>почтовый и электронный адреса)</w:t>
      </w:r>
      <w:r>
        <w:rPr>
          <w:rFonts w:ascii="Times New Roman"/>
          <w:b w:val="false"/>
          <w:i w:val="false"/>
          <w:color w:val="000000"/>
          <w:sz w:val="28"/>
        </w:rPr>
        <w:t>.</w:t>
      </w:r>
    </w:p>
    <w:bookmarkEnd w:id="166"/>
    <w:bookmarkStart w:name="z181" w:id="167"/>
    <w:p>
      <w:pPr>
        <w:spacing w:after="0"/>
        <w:ind w:left="0"/>
        <w:jc w:val="both"/>
      </w:pPr>
      <w:r>
        <w:rPr>
          <w:rFonts w:ascii="Times New Roman"/>
          <w:b w:val="false"/>
          <w:i w:val="false"/>
          <w:color w:val="000000"/>
          <w:sz w:val="28"/>
        </w:rPr>
        <w:t xml:space="preserve">
      </w:t>
      </w:r>
      <w:r>
        <w:rPr>
          <w:rFonts w:ascii="Times New Roman"/>
          <w:b/>
          <w:i w:val="false"/>
          <w:color w:val="000000"/>
          <w:sz w:val="28"/>
        </w:rPr>
        <w:t>Название, юридический и фактический адреса организации-производителя лекарственного препарата.</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bl>
    <w:bookmarkStart w:name="z183" w:id="168"/>
    <w:p>
      <w:pPr>
        <w:spacing w:after="0"/>
        <w:ind w:left="0"/>
        <w:jc w:val="left"/>
      </w:pPr>
      <w:r>
        <w:rPr>
          <w:rFonts w:ascii="Times New Roman"/>
          <w:b/>
          <w:i w:val="false"/>
          <w:color w:val="000000"/>
        </w:rPr>
        <w:t xml:space="preserve"> ПРИМЕРЫ ГРУППИРОВОЧНЫХ НАЗВАНИЙ ДЛЯ КЛАССИФИКАЦИИ НЕЖЕЛАТЕЛЬНЫХ</w:t>
      </w:r>
      <w:r>
        <w:br/>
      </w:r>
      <w:r>
        <w:rPr>
          <w:rFonts w:ascii="Times New Roman"/>
          <w:b/>
          <w:i w:val="false"/>
          <w:color w:val="000000"/>
        </w:rPr>
        <w:t>ПОБОЧНЫХ РЕАКЦИЙ ПО СИСТЕМАМ ОРГАНИЗМА</w:t>
      </w:r>
    </w:p>
    <w:bookmarkEnd w:id="168"/>
    <w:bookmarkStart w:name="z184" w:id="169"/>
    <w:p>
      <w:pPr>
        <w:spacing w:after="0"/>
        <w:ind w:left="0"/>
        <w:jc w:val="both"/>
      </w:pPr>
      <w:r>
        <w:rPr>
          <w:rFonts w:ascii="Times New Roman"/>
          <w:b w:val="false"/>
          <w:i w:val="false"/>
          <w:color w:val="000000"/>
          <w:sz w:val="28"/>
        </w:rPr>
        <w:t xml:space="preserve">
      - Аллергические реакции </w:t>
      </w:r>
    </w:p>
    <w:bookmarkEnd w:id="169"/>
    <w:bookmarkStart w:name="z185" w:id="170"/>
    <w:p>
      <w:pPr>
        <w:spacing w:after="0"/>
        <w:ind w:left="0"/>
        <w:jc w:val="both"/>
      </w:pPr>
      <w:r>
        <w:rPr>
          <w:rFonts w:ascii="Times New Roman"/>
          <w:b w:val="false"/>
          <w:i w:val="false"/>
          <w:color w:val="000000"/>
          <w:sz w:val="28"/>
        </w:rPr>
        <w:t xml:space="preserve">
      - Инфузионные реакции </w:t>
      </w:r>
    </w:p>
    <w:bookmarkEnd w:id="170"/>
    <w:bookmarkStart w:name="z186" w:id="171"/>
    <w:p>
      <w:pPr>
        <w:spacing w:after="0"/>
        <w:ind w:left="0"/>
        <w:jc w:val="both"/>
      </w:pPr>
      <w:r>
        <w:rPr>
          <w:rFonts w:ascii="Times New Roman"/>
          <w:b w:val="false"/>
          <w:i w:val="false"/>
          <w:color w:val="000000"/>
          <w:sz w:val="28"/>
        </w:rPr>
        <w:t xml:space="preserve">
      - Местные реакции </w:t>
      </w:r>
    </w:p>
    <w:bookmarkEnd w:id="171"/>
    <w:bookmarkStart w:name="z187" w:id="172"/>
    <w:p>
      <w:pPr>
        <w:spacing w:after="0"/>
        <w:ind w:left="0"/>
        <w:jc w:val="both"/>
      </w:pPr>
      <w:r>
        <w:rPr>
          <w:rFonts w:ascii="Times New Roman"/>
          <w:b w:val="false"/>
          <w:i w:val="false"/>
          <w:color w:val="000000"/>
          <w:sz w:val="28"/>
        </w:rPr>
        <w:t xml:space="preserve">
      - Со стороны центральной нервной системы </w:t>
      </w:r>
    </w:p>
    <w:bookmarkEnd w:id="172"/>
    <w:bookmarkStart w:name="z188" w:id="173"/>
    <w:p>
      <w:pPr>
        <w:spacing w:after="0"/>
        <w:ind w:left="0"/>
        <w:jc w:val="both"/>
      </w:pPr>
      <w:r>
        <w:rPr>
          <w:rFonts w:ascii="Times New Roman"/>
          <w:b w:val="false"/>
          <w:i w:val="false"/>
          <w:color w:val="000000"/>
          <w:sz w:val="28"/>
        </w:rPr>
        <w:t xml:space="preserve">
      - Со стороны нервной системы </w:t>
      </w:r>
    </w:p>
    <w:bookmarkEnd w:id="173"/>
    <w:bookmarkStart w:name="z189" w:id="174"/>
    <w:p>
      <w:pPr>
        <w:spacing w:after="0"/>
        <w:ind w:left="0"/>
        <w:jc w:val="both"/>
      </w:pPr>
      <w:r>
        <w:rPr>
          <w:rFonts w:ascii="Times New Roman"/>
          <w:b w:val="false"/>
          <w:i w:val="false"/>
          <w:color w:val="000000"/>
          <w:sz w:val="28"/>
        </w:rPr>
        <w:t xml:space="preserve">
      - Со стороны водно-электролитного обмена </w:t>
      </w:r>
    </w:p>
    <w:bookmarkEnd w:id="174"/>
    <w:bookmarkStart w:name="z190" w:id="175"/>
    <w:p>
      <w:pPr>
        <w:spacing w:after="0"/>
        <w:ind w:left="0"/>
        <w:jc w:val="both"/>
      </w:pPr>
      <w:r>
        <w:rPr>
          <w:rFonts w:ascii="Times New Roman"/>
          <w:b w:val="false"/>
          <w:i w:val="false"/>
          <w:color w:val="000000"/>
          <w:sz w:val="28"/>
        </w:rPr>
        <w:t xml:space="preserve">
      - Со стороны кожных покровов </w:t>
      </w:r>
    </w:p>
    <w:bookmarkEnd w:id="175"/>
    <w:bookmarkStart w:name="z191" w:id="176"/>
    <w:p>
      <w:pPr>
        <w:spacing w:after="0"/>
        <w:ind w:left="0"/>
        <w:jc w:val="both"/>
      </w:pPr>
      <w:r>
        <w:rPr>
          <w:rFonts w:ascii="Times New Roman"/>
          <w:b w:val="false"/>
          <w:i w:val="false"/>
          <w:color w:val="000000"/>
          <w:sz w:val="28"/>
        </w:rPr>
        <w:t xml:space="preserve">
      - Со стороны мочеполовой системы </w:t>
      </w:r>
    </w:p>
    <w:bookmarkEnd w:id="176"/>
    <w:bookmarkStart w:name="z192" w:id="177"/>
    <w:p>
      <w:pPr>
        <w:spacing w:after="0"/>
        <w:ind w:left="0"/>
        <w:jc w:val="both"/>
      </w:pPr>
      <w:r>
        <w:rPr>
          <w:rFonts w:ascii="Times New Roman"/>
          <w:b w:val="false"/>
          <w:i w:val="false"/>
          <w:color w:val="000000"/>
          <w:sz w:val="28"/>
        </w:rPr>
        <w:t xml:space="preserve">
      - Со стороны мочевыделительной системы </w:t>
      </w:r>
    </w:p>
    <w:bookmarkEnd w:id="177"/>
    <w:bookmarkStart w:name="z193" w:id="178"/>
    <w:p>
      <w:pPr>
        <w:spacing w:after="0"/>
        <w:ind w:left="0"/>
        <w:jc w:val="both"/>
      </w:pPr>
      <w:r>
        <w:rPr>
          <w:rFonts w:ascii="Times New Roman"/>
          <w:b w:val="false"/>
          <w:i w:val="false"/>
          <w:color w:val="000000"/>
          <w:sz w:val="28"/>
        </w:rPr>
        <w:t xml:space="preserve">
      - Со стороны обмена веществ </w:t>
      </w:r>
    </w:p>
    <w:bookmarkEnd w:id="178"/>
    <w:bookmarkStart w:name="z194" w:id="179"/>
    <w:p>
      <w:pPr>
        <w:spacing w:after="0"/>
        <w:ind w:left="0"/>
        <w:jc w:val="both"/>
      </w:pPr>
      <w:r>
        <w:rPr>
          <w:rFonts w:ascii="Times New Roman"/>
          <w:b w:val="false"/>
          <w:i w:val="false"/>
          <w:color w:val="000000"/>
          <w:sz w:val="28"/>
        </w:rPr>
        <w:t xml:space="preserve">
      - Со стороны опорно-двигательного аппарата </w:t>
      </w:r>
    </w:p>
    <w:bookmarkEnd w:id="179"/>
    <w:bookmarkStart w:name="z195" w:id="180"/>
    <w:p>
      <w:pPr>
        <w:spacing w:after="0"/>
        <w:ind w:left="0"/>
        <w:jc w:val="both"/>
      </w:pPr>
      <w:r>
        <w:rPr>
          <w:rFonts w:ascii="Times New Roman"/>
          <w:b w:val="false"/>
          <w:i w:val="false"/>
          <w:color w:val="000000"/>
          <w:sz w:val="28"/>
        </w:rPr>
        <w:t xml:space="preserve">
      - Со стороны пищеварительной системы </w:t>
      </w:r>
    </w:p>
    <w:bookmarkEnd w:id="180"/>
    <w:bookmarkStart w:name="z196" w:id="181"/>
    <w:p>
      <w:pPr>
        <w:spacing w:after="0"/>
        <w:ind w:left="0"/>
        <w:jc w:val="both"/>
      </w:pPr>
      <w:r>
        <w:rPr>
          <w:rFonts w:ascii="Times New Roman"/>
          <w:b w:val="false"/>
          <w:i w:val="false"/>
          <w:color w:val="000000"/>
          <w:sz w:val="28"/>
        </w:rPr>
        <w:t xml:space="preserve">
      - Со стороны органов кроветворения </w:t>
      </w:r>
    </w:p>
    <w:bookmarkEnd w:id="181"/>
    <w:bookmarkStart w:name="z197" w:id="182"/>
    <w:p>
      <w:pPr>
        <w:spacing w:after="0"/>
        <w:ind w:left="0"/>
        <w:jc w:val="both"/>
      </w:pPr>
      <w:r>
        <w:rPr>
          <w:rFonts w:ascii="Times New Roman"/>
          <w:b w:val="false"/>
          <w:i w:val="false"/>
          <w:color w:val="000000"/>
          <w:sz w:val="28"/>
        </w:rPr>
        <w:t xml:space="preserve">
      - Со стороны дыхательной системы </w:t>
      </w:r>
    </w:p>
    <w:bookmarkEnd w:id="182"/>
    <w:bookmarkStart w:name="z198" w:id="183"/>
    <w:p>
      <w:pPr>
        <w:spacing w:after="0"/>
        <w:ind w:left="0"/>
        <w:jc w:val="both"/>
      </w:pPr>
      <w:r>
        <w:rPr>
          <w:rFonts w:ascii="Times New Roman"/>
          <w:b w:val="false"/>
          <w:i w:val="false"/>
          <w:color w:val="000000"/>
          <w:sz w:val="28"/>
        </w:rPr>
        <w:t xml:space="preserve">
      - стороны органов чувств </w:t>
      </w:r>
    </w:p>
    <w:bookmarkEnd w:id="183"/>
    <w:bookmarkStart w:name="z199" w:id="184"/>
    <w:p>
      <w:pPr>
        <w:spacing w:after="0"/>
        <w:ind w:left="0"/>
        <w:jc w:val="both"/>
      </w:pPr>
      <w:r>
        <w:rPr>
          <w:rFonts w:ascii="Times New Roman"/>
          <w:b w:val="false"/>
          <w:i w:val="false"/>
          <w:color w:val="000000"/>
          <w:sz w:val="28"/>
        </w:rPr>
        <w:t xml:space="preserve">
      - Со стороны сердечно-сосудистой системы </w:t>
      </w:r>
    </w:p>
    <w:bookmarkEnd w:id="184"/>
    <w:bookmarkStart w:name="z200" w:id="185"/>
    <w:p>
      <w:pPr>
        <w:spacing w:after="0"/>
        <w:ind w:left="0"/>
        <w:jc w:val="both"/>
      </w:pPr>
      <w:r>
        <w:rPr>
          <w:rFonts w:ascii="Times New Roman"/>
          <w:b w:val="false"/>
          <w:i w:val="false"/>
          <w:color w:val="000000"/>
          <w:sz w:val="28"/>
        </w:rPr>
        <w:t xml:space="preserve">
      - Со стороны системы гемостаза </w:t>
      </w:r>
    </w:p>
    <w:bookmarkEnd w:id="185"/>
    <w:bookmarkStart w:name="z201" w:id="186"/>
    <w:p>
      <w:pPr>
        <w:spacing w:after="0"/>
        <w:ind w:left="0"/>
        <w:jc w:val="both"/>
      </w:pPr>
      <w:r>
        <w:rPr>
          <w:rFonts w:ascii="Times New Roman"/>
          <w:b w:val="false"/>
          <w:i w:val="false"/>
          <w:color w:val="000000"/>
          <w:sz w:val="28"/>
        </w:rPr>
        <w:t xml:space="preserve">
      - Влияние на плод </w:t>
      </w:r>
    </w:p>
    <w:bookmarkEnd w:id="186"/>
    <w:bookmarkStart w:name="z202" w:id="187"/>
    <w:p>
      <w:pPr>
        <w:spacing w:after="0"/>
        <w:ind w:left="0"/>
        <w:jc w:val="both"/>
      </w:pPr>
      <w:r>
        <w:rPr>
          <w:rFonts w:ascii="Times New Roman"/>
          <w:b w:val="false"/>
          <w:i w:val="false"/>
          <w:color w:val="000000"/>
          <w:sz w:val="28"/>
        </w:rPr>
        <w:t xml:space="preserve">
      - Со стороны репродуктивной системы </w:t>
      </w:r>
    </w:p>
    <w:bookmarkEnd w:id="187"/>
    <w:bookmarkStart w:name="z203" w:id="188"/>
    <w:p>
      <w:pPr>
        <w:spacing w:after="0"/>
        <w:ind w:left="0"/>
        <w:jc w:val="both"/>
      </w:pPr>
      <w:r>
        <w:rPr>
          <w:rFonts w:ascii="Times New Roman"/>
          <w:b w:val="false"/>
          <w:i w:val="false"/>
          <w:color w:val="000000"/>
          <w:sz w:val="28"/>
        </w:rPr>
        <w:t xml:space="preserve">
      - Лабораторные показатели </w:t>
      </w:r>
    </w:p>
    <w:bookmarkEnd w:id="188"/>
    <w:bookmarkStart w:name="z204" w:id="189"/>
    <w:p>
      <w:pPr>
        <w:spacing w:after="0"/>
        <w:ind w:left="0"/>
        <w:jc w:val="both"/>
      </w:pPr>
      <w:r>
        <w:rPr>
          <w:rFonts w:ascii="Times New Roman"/>
          <w:b w:val="false"/>
          <w:i w:val="false"/>
          <w:color w:val="000000"/>
          <w:sz w:val="28"/>
        </w:rPr>
        <w:t xml:space="preserve">
      - Прочие </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bl>
    <w:bookmarkStart w:name="z206" w:id="190"/>
    <w:p>
      <w:pPr>
        <w:spacing w:after="0"/>
        <w:ind w:left="0"/>
        <w:jc w:val="left"/>
      </w:pPr>
      <w:r>
        <w:rPr>
          <w:rFonts w:ascii="Times New Roman"/>
          <w:b/>
          <w:i w:val="false"/>
          <w:color w:val="000000"/>
        </w:rPr>
        <w:t xml:space="preserve"> КЛАССИФИКАЦИЯ НЕЖЕЛАТЕЛЬНЫХ ПОБОЧНЫХ РЕАКЦИЙ В</w:t>
      </w:r>
      <w:r>
        <w:br/>
      </w:r>
      <w:r>
        <w:rPr>
          <w:rFonts w:ascii="Times New Roman"/>
          <w:b/>
          <w:i w:val="false"/>
          <w:color w:val="000000"/>
        </w:rPr>
        <w:t>СООТВЕТСТВИИ С ПОРАЖЕНИЕМ ОРГАНОВ И СИСТЕМ ОРГАНОВ</w:t>
      </w:r>
      <w:r>
        <w:br/>
      </w:r>
      <w:r>
        <w:rPr>
          <w:rFonts w:ascii="Times New Roman"/>
          <w:b/>
          <w:i w:val="false"/>
          <w:color w:val="000000"/>
        </w:rPr>
        <w:t>(МЕДИЦИНСКИЙ СЛОВАРЬ ДЛЯ НОРМАТИВНО-ПРАВОВОЙ</w:t>
      </w:r>
      <w:r>
        <w:br/>
      </w:r>
      <w:r>
        <w:rPr>
          <w:rFonts w:ascii="Times New Roman"/>
          <w:b/>
          <w:i w:val="false"/>
          <w:color w:val="000000"/>
        </w:rPr>
        <w:t>ДЕЯТЕЛЬНОСТИ MedDRA)</w:t>
      </w:r>
    </w:p>
    <w:bookmarkEnd w:id="190"/>
    <w:bookmarkStart w:name="z207" w:id="191"/>
    <w:p>
      <w:pPr>
        <w:spacing w:after="0"/>
        <w:ind w:left="0"/>
        <w:jc w:val="both"/>
      </w:pPr>
      <w:r>
        <w:rPr>
          <w:rFonts w:ascii="Times New Roman"/>
          <w:b w:val="false"/>
          <w:i w:val="false"/>
          <w:color w:val="000000"/>
          <w:sz w:val="28"/>
        </w:rPr>
        <w:t xml:space="preserve">
      Инфекционные и паразитарные заболевания </w:t>
      </w:r>
    </w:p>
    <w:bookmarkEnd w:id="191"/>
    <w:bookmarkStart w:name="z208" w:id="192"/>
    <w:p>
      <w:pPr>
        <w:spacing w:after="0"/>
        <w:ind w:left="0"/>
        <w:jc w:val="both"/>
      </w:pPr>
      <w:r>
        <w:rPr>
          <w:rFonts w:ascii="Times New Roman"/>
          <w:b w:val="false"/>
          <w:i w:val="false"/>
          <w:color w:val="000000"/>
          <w:sz w:val="28"/>
        </w:rPr>
        <w:t xml:space="preserve">
      Доброкачественные, злокачественные и неуточненные новообразования (включая кисты и полипы) </w:t>
      </w:r>
    </w:p>
    <w:bookmarkEnd w:id="192"/>
    <w:bookmarkStart w:name="z209" w:id="193"/>
    <w:p>
      <w:pPr>
        <w:spacing w:after="0"/>
        <w:ind w:left="0"/>
        <w:jc w:val="both"/>
      </w:pPr>
      <w:r>
        <w:rPr>
          <w:rFonts w:ascii="Times New Roman"/>
          <w:b w:val="false"/>
          <w:i w:val="false"/>
          <w:color w:val="000000"/>
          <w:sz w:val="28"/>
        </w:rPr>
        <w:t xml:space="preserve">
      Нарушения со стороны крови и лимфатической системы </w:t>
      </w:r>
    </w:p>
    <w:bookmarkEnd w:id="193"/>
    <w:bookmarkStart w:name="z210" w:id="194"/>
    <w:p>
      <w:pPr>
        <w:spacing w:after="0"/>
        <w:ind w:left="0"/>
        <w:jc w:val="both"/>
      </w:pPr>
      <w:r>
        <w:rPr>
          <w:rFonts w:ascii="Times New Roman"/>
          <w:b w:val="false"/>
          <w:i w:val="false"/>
          <w:color w:val="000000"/>
          <w:sz w:val="28"/>
        </w:rPr>
        <w:t xml:space="preserve">
      Нарушения со стороны иммунной системы </w:t>
      </w:r>
    </w:p>
    <w:bookmarkEnd w:id="194"/>
    <w:bookmarkStart w:name="z211" w:id="195"/>
    <w:p>
      <w:pPr>
        <w:spacing w:after="0"/>
        <w:ind w:left="0"/>
        <w:jc w:val="both"/>
      </w:pPr>
      <w:r>
        <w:rPr>
          <w:rFonts w:ascii="Times New Roman"/>
          <w:b w:val="false"/>
          <w:i w:val="false"/>
          <w:color w:val="000000"/>
          <w:sz w:val="28"/>
        </w:rPr>
        <w:t xml:space="preserve">
      Нарушения со стороны эндокринной системы </w:t>
      </w:r>
    </w:p>
    <w:bookmarkEnd w:id="195"/>
    <w:bookmarkStart w:name="z212" w:id="196"/>
    <w:p>
      <w:pPr>
        <w:spacing w:after="0"/>
        <w:ind w:left="0"/>
        <w:jc w:val="both"/>
      </w:pPr>
      <w:r>
        <w:rPr>
          <w:rFonts w:ascii="Times New Roman"/>
          <w:b w:val="false"/>
          <w:i w:val="false"/>
          <w:color w:val="000000"/>
          <w:sz w:val="28"/>
        </w:rPr>
        <w:t xml:space="preserve">
      Нарушения со стороны обмена веществ и питания </w:t>
      </w:r>
    </w:p>
    <w:bookmarkEnd w:id="196"/>
    <w:bookmarkStart w:name="z213" w:id="197"/>
    <w:p>
      <w:pPr>
        <w:spacing w:after="0"/>
        <w:ind w:left="0"/>
        <w:jc w:val="both"/>
      </w:pPr>
      <w:r>
        <w:rPr>
          <w:rFonts w:ascii="Times New Roman"/>
          <w:b w:val="false"/>
          <w:i w:val="false"/>
          <w:color w:val="000000"/>
          <w:sz w:val="28"/>
        </w:rPr>
        <w:t xml:space="preserve">
      Нарушения психики </w:t>
      </w:r>
    </w:p>
    <w:bookmarkEnd w:id="197"/>
    <w:bookmarkStart w:name="z214" w:id="198"/>
    <w:p>
      <w:pPr>
        <w:spacing w:after="0"/>
        <w:ind w:left="0"/>
        <w:jc w:val="both"/>
      </w:pPr>
      <w:r>
        <w:rPr>
          <w:rFonts w:ascii="Times New Roman"/>
          <w:b w:val="false"/>
          <w:i w:val="false"/>
          <w:color w:val="000000"/>
          <w:sz w:val="28"/>
        </w:rPr>
        <w:t xml:space="preserve">
      Нарушения со стороны нервной системы </w:t>
      </w:r>
    </w:p>
    <w:bookmarkEnd w:id="198"/>
    <w:bookmarkStart w:name="z215" w:id="199"/>
    <w:p>
      <w:pPr>
        <w:spacing w:after="0"/>
        <w:ind w:left="0"/>
        <w:jc w:val="both"/>
      </w:pPr>
      <w:r>
        <w:rPr>
          <w:rFonts w:ascii="Times New Roman"/>
          <w:b w:val="false"/>
          <w:i w:val="false"/>
          <w:color w:val="000000"/>
          <w:sz w:val="28"/>
        </w:rPr>
        <w:t xml:space="preserve">
      Нарушения со стороны органа зрения </w:t>
      </w:r>
    </w:p>
    <w:bookmarkEnd w:id="199"/>
    <w:bookmarkStart w:name="z216" w:id="200"/>
    <w:p>
      <w:pPr>
        <w:spacing w:after="0"/>
        <w:ind w:left="0"/>
        <w:jc w:val="both"/>
      </w:pPr>
      <w:r>
        <w:rPr>
          <w:rFonts w:ascii="Times New Roman"/>
          <w:b w:val="false"/>
          <w:i w:val="false"/>
          <w:color w:val="000000"/>
          <w:sz w:val="28"/>
        </w:rPr>
        <w:t xml:space="preserve">
      Нарушения со стороны органа слуха и лабиринтные нарушения </w:t>
      </w:r>
    </w:p>
    <w:bookmarkEnd w:id="200"/>
    <w:bookmarkStart w:name="z217" w:id="201"/>
    <w:p>
      <w:pPr>
        <w:spacing w:after="0"/>
        <w:ind w:left="0"/>
        <w:jc w:val="both"/>
      </w:pPr>
      <w:r>
        <w:rPr>
          <w:rFonts w:ascii="Times New Roman"/>
          <w:b w:val="false"/>
          <w:i w:val="false"/>
          <w:color w:val="000000"/>
          <w:sz w:val="28"/>
        </w:rPr>
        <w:t xml:space="preserve">
      Нарушения со стороны сердца </w:t>
      </w:r>
    </w:p>
    <w:bookmarkEnd w:id="201"/>
    <w:bookmarkStart w:name="z218" w:id="202"/>
    <w:p>
      <w:pPr>
        <w:spacing w:after="0"/>
        <w:ind w:left="0"/>
        <w:jc w:val="both"/>
      </w:pPr>
      <w:r>
        <w:rPr>
          <w:rFonts w:ascii="Times New Roman"/>
          <w:b w:val="false"/>
          <w:i w:val="false"/>
          <w:color w:val="000000"/>
          <w:sz w:val="28"/>
        </w:rPr>
        <w:t xml:space="preserve">
      Нарушения со стороны сосудов </w:t>
      </w:r>
    </w:p>
    <w:bookmarkEnd w:id="202"/>
    <w:bookmarkStart w:name="z219" w:id="203"/>
    <w:p>
      <w:pPr>
        <w:spacing w:after="0"/>
        <w:ind w:left="0"/>
        <w:jc w:val="both"/>
      </w:pPr>
      <w:r>
        <w:rPr>
          <w:rFonts w:ascii="Times New Roman"/>
          <w:b w:val="false"/>
          <w:i w:val="false"/>
          <w:color w:val="000000"/>
          <w:sz w:val="28"/>
        </w:rPr>
        <w:t xml:space="preserve">
      Нарушения со стороны дыхательной системы, органов грудной клетки и средостения </w:t>
      </w:r>
    </w:p>
    <w:bookmarkEnd w:id="203"/>
    <w:bookmarkStart w:name="z220" w:id="204"/>
    <w:p>
      <w:pPr>
        <w:spacing w:after="0"/>
        <w:ind w:left="0"/>
        <w:jc w:val="both"/>
      </w:pPr>
      <w:r>
        <w:rPr>
          <w:rFonts w:ascii="Times New Roman"/>
          <w:b w:val="false"/>
          <w:i w:val="false"/>
          <w:color w:val="000000"/>
          <w:sz w:val="28"/>
        </w:rPr>
        <w:t xml:space="preserve">
      Нарушения со стороны желудочно-кишечного тракта </w:t>
      </w:r>
    </w:p>
    <w:bookmarkEnd w:id="204"/>
    <w:bookmarkStart w:name="z221" w:id="205"/>
    <w:p>
      <w:pPr>
        <w:spacing w:after="0"/>
        <w:ind w:left="0"/>
        <w:jc w:val="both"/>
      </w:pPr>
      <w:r>
        <w:rPr>
          <w:rFonts w:ascii="Times New Roman"/>
          <w:b w:val="false"/>
          <w:i w:val="false"/>
          <w:color w:val="000000"/>
          <w:sz w:val="28"/>
        </w:rPr>
        <w:t xml:space="preserve">
      Нарушения со стороны печени и желчевыводящих путей </w:t>
      </w:r>
    </w:p>
    <w:bookmarkEnd w:id="205"/>
    <w:bookmarkStart w:name="z222" w:id="206"/>
    <w:p>
      <w:pPr>
        <w:spacing w:after="0"/>
        <w:ind w:left="0"/>
        <w:jc w:val="both"/>
      </w:pPr>
      <w:r>
        <w:rPr>
          <w:rFonts w:ascii="Times New Roman"/>
          <w:b w:val="false"/>
          <w:i w:val="false"/>
          <w:color w:val="000000"/>
          <w:sz w:val="28"/>
        </w:rPr>
        <w:t xml:space="preserve">
      Нарушения со стороны кожи и подкожных тканей </w:t>
      </w:r>
    </w:p>
    <w:bookmarkEnd w:id="206"/>
    <w:bookmarkStart w:name="z223" w:id="207"/>
    <w:p>
      <w:pPr>
        <w:spacing w:after="0"/>
        <w:ind w:left="0"/>
        <w:jc w:val="both"/>
      </w:pPr>
      <w:r>
        <w:rPr>
          <w:rFonts w:ascii="Times New Roman"/>
          <w:b w:val="false"/>
          <w:i w:val="false"/>
          <w:color w:val="000000"/>
          <w:sz w:val="28"/>
        </w:rPr>
        <w:t xml:space="preserve">
      Нарушения со стороны скелетно-мышечной и соединительной ткани </w:t>
      </w:r>
    </w:p>
    <w:bookmarkEnd w:id="207"/>
    <w:bookmarkStart w:name="z224" w:id="208"/>
    <w:p>
      <w:pPr>
        <w:spacing w:after="0"/>
        <w:ind w:left="0"/>
        <w:jc w:val="both"/>
      </w:pPr>
      <w:r>
        <w:rPr>
          <w:rFonts w:ascii="Times New Roman"/>
          <w:b w:val="false"/>
          <w:i w:val="false"/>
          <w:color w:val="000000"/>
          <w:sz w:val="28"/>
        </w:rPr>
        <w:t xml:space="preserve">
      Нарушения со стороны почек и мочевыводящих путей </w:t>
      </w:r>
    </w:p>
    <w:bookmarkEnd w:id="208"/>
    <w:bookmarkStart w:name="z225" w:id="209"/>
    <w:p>
      <w:pPr>
        <w:spacing w:after="0"/>
        <w:ind w:left="0"/>
        <w:jc w:val="both"/>
      </w:pPr>
      <w:r>
        <w:rPr>
          <w:rFonts w:ascii="Times New Roman"/>
          <w:b w:val="false"/>
          <w:i w:val="false"/>
          <w:color w:val="000000"/>
          <w:sz w:val="28"/>
        </w:rPr>
        <w:t xml:space="preserve">
      Влияние на течение беременности, послеродовые и перинатальные состояния </w:t>
      </w:r>
    </w:p>
    <w:bookmarkEnd w:id="209"/>
    <w:bookmarkStart w:name="z226" w:id="210"/>
    <w:p>
      <w:pPr>
        <w:spacing w:after="0"/>
        <w:ind w:left="0"/>
        <w:jc w:val="both"/>
      </w:pPr>
      <w:r>
        <w:rPr>
          <w:rFonts w:ascii="Times New Roman"/>
          <w:b w:val="false"/>
          <w:i w:val="false"/>
          <w:color w:val="000000"/>
          <w:sz w:val="28"/>
        </w:rPr>
        <w:t xml:space="preserve">
      Нарушения со стороны половых органов и молочной железы </w:t>
      </w:r>
    </w:p>
    <w:bookmarkEnd w:id="210"/>
    <w:bookmarkStart w:name="z227" w:id="211"/>
    <w:p>
      <w:pPr>
        <w:spacing w:after="0"/>
        <w:ind w:left="0"/>
        <w:jc w:val="both"/>
      </w:pPr>
      <w:r>
        <w:rPr>
          <w:rFonts w:ascii="Times New Roman"/>
          <w:b w:val="false"/>
          <w:i w:val="false"/>
          <w:color w:val="000000"/>
          <w:sz w:val="28"/>
        </w:rPr>
        <w:t xml:space="preserve">
      Врожденные, наследственные и генетические нарушения </w:t>
      </w:r>
    </w:p>
    <w:bookmarkEnd w:id="211"/>
    <w:bookmarkStart w:name="z228" w:id="212"/>
    <w:p>
      <w:pPr>
        <w:spacing w:after="0"/>
        <w:ind w:left="0"/>
        <w:jc w:val="both"/>
      </w:pPr>
      <w:r>
        <w:rPr>
          <w:rFonts w:ascii="Times New Roman"/>
          <w:b w:val="false"/>
          <w:i w:val="false"/>
          <w:color w:val="000000"/>
          <w:sz w:val="28"/>
        </w:rPr>
        <w:t xml:space="preserve">
      Общие расстройства и нарушения в месте введения </w:t>
      </w:r>
    </w:p>
    <w:bookmarkEnd w:id="212"/>
    <w:bookmarkStart w:name="z229" w:id="213"/>
    <w:p>
      <w:pPr>
        <w:spacing w:after="0"/>
        <w:ind w:left="0"/>
        <w:jc w:val="both"/>
      </w:pPr>
      <w:r>
        <w:rPr>
          <w:rFonts w:ascii="Times New Roman"/>
          <w:b w:val="false"/>
          <w:i w:val="false"/>
          <w:color w:val="000000"/>
          <w:sz w:val="28"/>
        </w:rPr>
        <w:t xml:space="preserve">
      Влияние на результаты лабораторных и инструментальных исследований </w:t>
      </w:r>
    </w:p>
    <w:bookmarkEnd w:id="213"/>
    <w:bookmarkStart w:name="z230" w:id="214"/>
    <w:p>
      <w:pPr>
        <w:spacing w:after="0"/>
        <w:ind w:left="0"/>
        <w:jc w:val="both"/>
      </w:pPr>
      <w:r>
        <w:rPr>
          <w:rFonts w:ascii="Times New Roman"/>
          <w:b w:val="false"/>
          <w:i w:val="false"/>
          <w:color w:val="000000"/>
          <w:sz w:val="28"/>
        </w:rPr>
        <w:t xml:space="preserve">
      Травмы, интоксикации и осложнения манипуляций </w:t>
      </w:r>
    </w:p>
    <w:bookmarkEnd w:id="214"/>
    <w:bookmarkStart w:name="z231" w:id="215"/>
    <w:p>
      <w:pPr>
        <w:spacing w:after="0"/>
        <w:ind w:left="0"/>
        <w:jc w:val="both"/>
      </w:pPr>
      <w:r>
        <w:rPr>
          <w:rFonts w:ascii="Times New Roman"/>
          <w:b w:val="false"/>
          <w:i w:val="false"/>
          <w:color w:val="000000"/>
          <w:sz w:val="28"/>
        </w:rPr>
        <w:t xml:space="preserve">
      Хирургические и терапевтические манипуляции </w:t>
      </w:r>
    </w:p>
    <w:bookmarkEnd w:id="215"/>
    <w:bookmarkStart w:name="z232" w:id="216"/>
    <w:p>
      <w:pPr>
        <w:spacing w:after="0"/>
        <w:ind w:left="0"/>
        <w:jc w:val="both"/>
      </w:pPr>
      <w:r>
        <w:rPr>
          <w:rFonts w:ascii="Times New Roman"/>
          <w:b w:val="false"/>
          <w:i w:val="false"/>
          <w:color w:val="000000"/>
          <w:sz w:val="28"/>
        </w:rPr>
        <w:t xml:space="preserve">
      Влияние на социальные факторы </w:t>
      </w:r>
    </w:p>
    <w:bookmarkEnd w:id="2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bl>
    <w:bookmarkStart w:name="z234" w:id="217"/>
    <w:p>
      <w:pPr>
        <w:spacing w:after="0"/>
        <w:ind w:left="0"/>
        <w:jc w:val="left"/>
      </w:pPr>
      <w:r>
        <w:rPr>
          <w:rFonts w:ascii="Times New Roman"/>
          <w:b/>
          <w:i w:val="false"/>
          <w:color w:val="000000"/>
        </w:rPr>
        <w:t xml:space="preserve"> Классификация ВОЗ</w:t>
      </w:r>
      <w:r>
        <w:rPr>
          <w:rFonts w:ascii="Times New Roman"/>
          <w:b/>
          <w:i w:val="false"/>
          <w:color w:val="000000"/>
          <w:vertAlign w:val="superscript"/>
        </w:rPr>
        <w:t>9</w:t>
      </w:r>
      <w:r>
        <w:rPr>
          <w:rFonts w:ascii="Times New Roman"/>
          <w:b/>
          <w:i w:val="false"/>
          <w:color w:val="000000"/>
        </w:rPr>
        <w:t xml:space="preserve"> нежелательных побочных реакций по</w:t>
      </w:r>
      <w:r>
        <w:br/>
      </w:r>
      <w:r>
        <w:rPr>
          <w:rFonts w:ascii="Times New Roman"/>
          <w:b/>
          <w:i w:val="false"/>
          <w:color w:val="000000"/>
        </w:rPr>
        <w:t>частотеразвития</w:t>
      </w:r>
    </w:p>
    <w:bookmarkEnd w:id="217"/>
    <w:p>
      <w:pPr>
        <w:spacing w:after="0"/>
        <w:ind w:left="0"/>
        <w:jc w:val="both"/>
      </w:pPr>
      <w:r>
        <w:rPr>
          <w:rFonts w:ascii="Times New Roman"/>
          <w:b w:val="false"/>
          <w:i w:val="false"/>
          <w:color w:val="000000"/>
          <w:sz w:val="28"/>
        </w:rPr>
        <w:t>
            Очень частые - 1/10 назначений     (</w:t>
      </w:r>
      <w:r>
        <w:rPr>
          <w:rFonts w:ascii="Times New Roman"/>
          <w:b w:val="false"/>
          <w:i w:val="false"/>
          <w:color w:val="000000"/>
          <w:sz w:val="28"/>
          <w:u w:val="single"/>
        </w:rPr>
        <w:t>&gt;</w:t>
      </w:r>
      <w:r>
        <w:rPr>
          <w:rFonts w:ascii="Times New Roman"/>
          <w:b w:val="false"/>
          <w:i w:val="false"/>
          <w:color w:val="000000"/>
          <w:sz w:val="28"/>
        </w:rPr>
        <w:t>10%)</w:t>
      </w:r>
    </w:p>
    <w:p>
      <w:pPr>
        <w:spacing w:after="0"/>
        <w:ind w:left="0"/>
        <w:jc w:val="both"/>
      </w:pPr>
      <w:r>
        <w:rPr>
          <w:rFonts w:ascii="Times New Roman"/>
          <w:b w:val="false"/>
          <w:i w:val="false"/>
          <w:color w:val="000000"/>
          <w:sz w:val="28"/>
        </w:rPr>
        <w:t>
            Частые - 1/100 назначений          (</w:t>
      </w:r>
      <w:r>
        <w:rPr>
          <w:rFonts w:ascii="Times New Roman"/>
          <w:b w:val="false"/>
          <w:i w:val="false"/>
          <w:color w:val="000000"/>
          <w:sz w:val="28"/>
          <w:u w:val="single"/>
        </w:rPr>
        <w:t>&gt;</w:t>
      </w:r>
      <w:r>
        <w:rPr>
          <w:rFonts w:ascii="Times New Roman"/>
          <w:b w:val="false"/>
          <w:i w:val="false"/>
          <w:color w:val="000000"/>
          <w:sz w:val="28"/>
        </w:rPr>
        <w:t>1%,но&lt;10%)</w:t>
      </w:r>
    </w:p>
    <w:p>
      <w:pPr>
        <w:spacing w:after="0"/>
        <w:ind w:left="0"/>
        <w:jc w:val="both"/>
      </w:pPr>
      <w:r>
        <w:rPr>
          <w:rFonts w:ascii="Times New Roman"/>
          <w:b w:val="false"/>
          <w:i w:val="false"/>
          <w:color w:val="000000"/>
          <w:sz w:val="28"/>
        </w:rPr>
        <w:t>
            Нечастые - 1/1000 назначений       (</w:t>
      </w:r>
      <w:r>
        <w:rPr>
          <w:rFonts w:ascii="Times New Roman"/>
          <w:b w:val="false"/>
          <w:i w:val="false"/>
          <w:color w:val="000000"/>
          <w:sz w:val="28"/>
          <w:u w:val="single"/>
        </w:rPr>
        <w:t>&gt;</w:t>
      </w:r>
      <w:r>
        <w:rPr>
          <w:rFonts w:ascii="Times New Roman"/>
          <w:b w:val="false"/>
          <w:i w:val="false"/>
          <w:color w:val="000000"/>
          <w:sz w:val="28"/>
        </w:rPr>
        <w:t>0,1%,но&lt;1%)</w:t>
      </w:r>
    </w:p>
    <w:p>
      <w:pPr>
        <w:spacing w:after="0"/>
        <w:ind w:left="0"/>
        <w:jc w:val="both"/>
      </w:pPr>
      <w:r>
        <w:rPr>
          <w:rFonts w:ascii="Times New Roman"/>
          <w:b w:val="false"/>
          <w:i w:val="false"/>
          <w:color w:val="000000"/>
          <w:sz w:val="28"/>
        </w:rPr>
        <w:t>
            Редкие - 1/10000 назначений        (</w:t>
      </w:r>
      <w:r>
        <w:rPr>
          <w:rFonts w:ascii="Times New Roman"/>
          <w:b w:val="false"/>
          <w:i w:val="false"/>
          <w:color w:val="000000"/>
          <w:sz w:val="28"/>
          <w:u w:val="single"/>
        </w:rPr>
        <w:t>&gt;</w:t>
      </w:r>
      <w:r>
        <w:rPr>
          <w:rFonts w:ascii="Times New Roman"/>
          <w:b w:val="false"/>
          <w:i w:val="false"/>
          <w:color w:val="000000"/>
          <w:sz w:val="28"/>
        </w:rPr>
        <w:t>0,01%,но&lt;0,1%)</w:t>
      </w:r>
    </w:p>
    <w:p>
      <w:pPr>
        <w:spacing w:after="0"/>
        <w:ind w:left="0"/>
        <w:jc w:val="both"/>
      </w:pPr>
      <w:r>
        <w:rPr>
          <w:rFonts w:ascii="Times New Roman"/>
          <w:b w:val="false"/>
          <w:i w:val="false"/>
          <w:color w:val="000000"/>
          <w:sz w:val="28"/>
        </w:rPr>
        <w:t>
            Очень редкие - менее 1/10000 назначений (&lt;0,01%)</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color w:val="000000"/>
          <w:sz w:val="28"/>
        </w:rPr>
        <w:t>Перечень вспомогательных веществ приводится полностью, независимо от лекарственной формы, в т.ч. состав оболочки (-</w:t>
      </w:r>
      <w:r>
        <w:rPr>
          <w:rFonts w:ascii="Times New Roman"/>
          <w:b w:val="false"/>
          <w:i/>
          <w:color w:val="000000"/>
          <w:sz w:val="28"/>
        </w:rPr>
        <w:t>ек</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color w:val="000000"/>
          <w:sz w:val="28"/>
        </w:rPr>
        <w:t>Для отдельных вспомогательных веществ необходимо также указание и количественного содержания, в случае если это значимо влияет на безопасность применения лекарственного препарата для всех или некоторых групп потребителей (например, содержание сахарозы – для пациентов с сахарным диабетом).</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color w:val="000000"/>
          <w:sz w:val="28"/>
        </w:rPr>
        <w:t>Информация может отсутствовать у гомеопатических ЛП</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color w:val="000000"/>
          <w:sz w:val="28"/>
        </w:rPr>
        <w:t>Информация может отсутствовать у гомеопатических ЛП</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color w:val="000000"/>
          <w:sz w:val="28"/>
        </w:rPr>
        <w:t>Информация может отсутствовать у гомеопатических ЛП</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color w:val="000000"/>
          <w:sz w:val="28"/>
        </w:rPr>
        <w:t xml:space="preserve"> Следует использовать следующие обозначения: "до еды" – за 30-60 мин до начала приема пищи, "во время приема пищи" – период непосредственного приема пищи, а также в течение 30 мин до его начала или после его окончания, "после еды" – период в течение 30-120 мин после приема пищи, "натощак" – прием не менее чем за 60 мин до начала приема пищи и не ранее чем через 120 мин после его окончания.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color w:val="000000"/>
          <w:sz w:val="28"/>
        </w:rPr>
        <w:t>Информация может отсутствовать у гомеопатических ЛП</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color w:val="000000"/>
          <w:sz w:val="28"/>
        </w:rPr>
        <w:t>Информация может отсутствовать у гомеопатических ЛП</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color w:val="000000"/>
          <w:sz w:val="28"/>
        </w:rPr>
        <w:t xml:space="preserve">Guidelines for </w:t>
      </w:r>
      <w:r>
        <w:rPr>
          <w:rFonts w:ascii="Times New Roman"/>
          <w:b w:val="false"/>
          <w:i/>
          <w:color w:val="000000"/>
          <w:sz w:val="28"/>
        </w:rPr>
        <w:t>Preparing</w:t>
      </w:r>
      <w:r>
        <w:rPr>
          <w:rFonts w:ascii="Times New Roman"/>
          <w:b w:val="false"/>
          <w:i w:val="false"/>
          <w:color w:val="000000"/>
          <w:sz w:val="28"/>
        </w:rPr>
        <w:t xml:space="preserve"> </w:t>
      </w:r>
      <w:r>
        <w:rPr>
          <w:rFonts w:ascii="Times New Roman"/>
          <w:b w:val="false"/>
          <w:i/>
          <w:color w:val="000000"/>
          <w:sz w:val="28"/>
        </w:rPr>
        <w:t>Core</w:t>
      </w:r>
      <w:r>
        <w:rPr>
          <w:rFonts w:ascii="Times New Roman"/>
          <w:b w:val="false"/>
          <w:i w:val="false"/>
          <w:color w:val="000000"/>
          <w:sz w:val="28"/>
        </w:rPr>
        <w:t xml:space="preserve"> </w:t>
      </w:r>
      <w:r>
        <w:rPr>
          <w:rFonts w:ascii="Times New Roman"/>
          <w:b w:val="false"/>
          <w:i/>
          <w:color w:val="000000"/>
          <w:sz w:val="28"/>
        </w:rPr>
        <w:t>Clinical</w:t>
      </w:r>
      <w:r>
        <w:rPr>
          <w:rFonts w:ascii="Times New Roman"/>
          <w:b w:val="false"/>
          <w:i w:val="false"/>
          <w:color w:val="000000"/>
          <w:sz w:val="28"/>
        </w:rPr>
        <w:t xml:space="preserve"> </w:t>
      </w:r>
      <w:r>
        <w:rPr>
          <w:rFonts w:ascii="Times New Roman"/>
          <w:b w:val="false"/>
          <w:i/>
          <w:color w:val="000000"/>
          <w:sz w:val="28"/>
        </w:rPr>
        <w:t>Safety</w:t>
      </w:r>
      <w:r>
        <w:rPr>
          <w:rFonts w:ascii="Times New Roman"/>
          <w:b w:val="false"/>
          <w:i w:val="false"/>
          <w:color w:val="000000"/>
          <w:sz w:val="28"/>
        </w:rPr>
        <w:t xml:space="preserve"> </w:t>
      </w:r>
      <w:r>
        <w:rPr>
          <w:rFonts w:ascii="Times New Roman"/>
          <w:b w:val="false"/>
          <w:i/>
          <w:color w:val="000000"/>
          <w:sz w:val="28"/>
        </w:rPr>
        <w:t>Information</w:t>
      </w:r>
      <w:r>
        <w:rPr>
          <w:rFonts w:ascii="Times New Roman"/>
          <w:b w:val="false"/>
          <w:i w:val="false"/>
          <w:color w:val="000000"/>
          <w:sz w:val="28"/>
        </w:rPr>
        <w:t xml:space="preserve"> </w:t>
      </w:r>
      <w:r>
        <w:rPr>
          <w:rFonts w:ascii="Times New Roman"/>
          <w:b w:val="false"/>
          <w:i/>
          <w:color w:val="000000"/>
          <w:sz w:val="28"/>
        </w:rPr>
        <w:t>on</w:t>
      </w:r>
      <w:r>
        <w:rPr>
          <w:rFonts w:ascii="Times New Roman"/>
          <w:b w:val="false"/>
          <w:i w:val="false"/>
          <w:color w:val="000000"/>
          <w:sz w:val="28"/>
        </w:rPr>
        <w:t xml:space="preserve">  </w:t>
      </w:r>
      <w:r>
        <w:rPr>
          <w:rFonts w:ascii="Times New Roman"/>
          <w:b w:val="false"/>
          <w:i/>
          <w:color w:val="000000"/>
          <w:sz w:val="28"/>
        </w:rPr>
        <w:t>Drugs</w:t>
      </w:r>
      <w:r>
        <w:rPr>
          <w:rFonts w:ascii="Times New Roman"/>
          <w:b w:val="false"/>
          <w:i/>
          <w:color w:val="000000"/>
          <w:sz w:val="28"/>
        </w:rPr>
        <w:t xml:space="preserve">   - </w:t>
      </w:r>
      <w:r>
        <w:rPr>
          <w:rFonts w:ascii="Times New Roman"/>
          <w:b w:val="false"/>
          <w:i/>
          <w:color w:val="000000"/>
          <w:sz w:val="28"/>
        </w:rPr>
        <w:t>Report</w:t>
      </w:r>
      <w:r>
        <w:rPr>
          <w:rFonts w:ascii="Times New Roman"/>
          <w:b w:val="false"/>
          <w:i w:val="false"/>
          <w:color w:val="000000"/>
          <w:sz w:val="28"/>
        </w:rPr>
        <w:t xml:space="preserve"> </w:t>
      </w:r>
      <w:r>
        <w:rPr>
          <w:rFonts w:ascii="Times New Roman"/>
          <w:b w:val="false"/>
          <w:i/>
          <w:color w:val="000000"/>
          <w:sz w:val="28"/>
        </w:rPr>
        <w:t>of</w:t>
      </w:r>
      <w:r>
        <w:rPr>
          <w:rFonts w:ascii="Times New Roman"/>
          <w:b w:val="false"/>
          <w:i/>
          <w:color w:val="000000"/>
          <w:sz w:val="28"/>
        </w:rPr>
        <w:t xml:space="preserve"> CIOMS </w:t>
      </w:r>
      <w:r>
        <w:rPr>
          <w:rFonts w:ascii="Times New Roman"/>
          <w:b w:val="false"/>
          <w:i/>
          <w:color w:val="000000"/>
          <w:sz w:val="28"/>
        </w:rPr>
        <w:t>Working</w:t>
      </w:r>
      <w:r>
        <w:rPr>
          <w:rFonts w:ascii="Times New Roman"/>
          <w:b w:val="false"/>
          <w:i w:val="false"/>
          <w:color w:val="000000"/>
          <w:sz w:val="28"/>
        </w:rPr>
        <w:t xml:space="preserve"> </w:t>
      </w:r>
      <w:r>
        <w:rPr>
          <w:rFonts w:ascii="Times New Roman"/>
          <w:b w:val="false"/>
          <w:i/>
          <w:color w:val="000000"/>
          <w:sz w:val="28"/>
        </w:rPr>
        <w:t>Group</w:t>
      </w:r>
      <w:r>
        <w:rPr>
          <w:rFonts w:ascii="Times New Roman"/>
          <w:b w:val="false"/>
          <w:i/>
          <w:color w:val="000000"/>
          <w:sz w:val="28"/>
        </w:rPr>
        <w:t xml:space="preserve"> III. </w:t>
      </w:r>
      <w:r>
        <w:rPr>
          <w:rFonts w:ascii="Times New Roman"/>
          <w:b w:val="false"/>
          <w:i/>
          <w:color w:val="000000"/>
          <w:sz w:val="28"/>
        </w:rPr>
        <w:t>Geneva</w:t>
      </w:r>
      <w:r>
        <w:rPr>
          <w:rFonts w:ascii="Times New Roman"/>
          <w:b w:val="false"/>
          <w:i/>
          <w:color w:val="000000"/>
          <w:sz w:val="28"/>
        </w:rPr>
        <w:t>, WHO, 1995. (</w:t>
      </w:r>
      <w:r>
        <w:rPr>
          <w:rFonts w:ascii="Times New Roman"/>
          <w:b w:val="false"/>
          <w:i/>
          <w:color w:val="000000"/>
          <w:sz w:val="28"/>
        </w:rPr>
        <w:t>Chapter</w:t>
      </w:r>
      <w:r>
        <w:rPr>
          <w:rFonts w:ascii="Times New Roman"/>
          <w:b w:val="false"/>
          <w:i/>
          <w:color w:val="000000"/>
          <w:sz w:val="28"/>
        </w:rPr>
        <w:t xml:space="preserve"> 5, </w:t>
      </w:r>
      <w:r>
        <w:rPr>
          <w:rFonts w:ascii="Times New Roman"/>
          <w:b w:val="false"/>
          <w:i/>
          <w:color w:val="000000"/>
          <w:sz w:val="28"/>
        </w:rPr>
        <w:t>Good</w:t>
      </w:r>
      <w:r>
        <w:rPr>
          <w:rFonts w:ascii="Times New Roman"/>
          <w:b w:val="false"/>
          <w:i w:val="false"/>
          <w:color w:val="000000"/>
          <w:sz w:val="28"/>
        </w:rPr>
        <w:t xml:space="preserve"> </w:t>
      </w:r>
      <w:r>
        <w:rPr>
          <w:rFonts w:ascii="Times New Roman"/>
          <w:b w:val="false"/>
          <w:i/>
          <w:color w:val="000000"/>
          <w:sz w:val="28"/>
        </w:rPr>
        <w:t>Safety</w:t>
      </w:r>
      <w:r>
        <w:rPr>
          <w:rFonts w:ascii="Times New Roman"/>
          <w:b w:val="false"/>
          <w:i w:val="false"/>
          <w:color w:val="000000"/>
          <w:sz w:val="28"/>
        </w:rPr>
        <w:t xml:space="preserve"> </w:t>
      </w:r>
      <w:r>
        <w:rPr>
          <w:rFonts w:ascii="Times New Roman"/>
          <w:b w:val="false"/>
          <w:i/>
          <w:color w:val="000000"/>
          <w:sz w:val="28"/>
        </w:rPr>
        <w:t>Information</w:t>
      </w:r>
      <w:r>
        <w:rPr>
          <w:rFonts w:ascii="Times New Roman"/>
          <w:b w:val="false"/>
          <w:i w:val="false"/>
          <w:color w:val="000000"/>
          <w:sz w:val="28"/>
        </w:rPr>
        <w:t xml:space="preserve"> </w:t>
      </w:r>
      <w:r>
        <w:rPr>
          <w:rFonts w:ascii="Times New Roman"/>
          <w:b w:val="false"/>
          <w:i/>
          <w:color w:val="000000"/>
          <w:sz w:val="28"/>
        </w:rPr>
        <w:t>Practices</w:t>
      </w:r>
      <w:r>
        <w:rPr>
          <w:rFonts w:ascii="Times New Roman"/>
          <w:b w:val="false"/>
          <w:i/>
          <w:color w:val="00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