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7f6c" w14:textId="fc97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Единые ветеринарные (ветеринарно-санитарные) требования, предъявляемые к товарам, подлежащим ветеринарному контролю (надзору),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(прилагаются).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623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в Единые ветеринарные (ветеринарно-санитарные)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требования, предъявляемые к товарам, подлежащим ветеринарному контролю (надзору), утвержденные </w:t>
      </w:r>
      <w:r>
        <w:br/>
      </w:r>
      <w:r>
        <w:rPr>
          <w:rFonts w:ascii="Times New Roman"/>
          <w:b/>
          <w:i w:val="false"/>
          <w:color w:val="000000"/>
        </w:rPr>
        <w:t>
Решением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18 июня 2010 года № 317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Единые ветеринарные (ветеринарно-санитарные) требования, предъявляемые к товарам, подлежащим ветеринарному контролю (надзору),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Изложить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 в следующей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«Перемещение подконтрольных товаров с территории одной Стороны на территорию другой Стороны (далее – перемещение между Сторонами), разрешается организациям и лицам, осуществляющим производство, переработку и (или) хранение подконтрольных товаров, включенным в Реестр организаций и лиц, осуществляющих производство, переработку и (или) хранение товаров, перемещаемых с территории одной Стороны на территорию другой Стороны (далее – Реестр предприятий таможенного союза).».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части шестой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шестой Главы 6, части четвертой Главы 8, части пятой Главы 12 заменить слова «За 30 дней» на слова «В сроки рекомендованные МЭБ».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«бруцеллез, туберкулез,».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Главе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исключить из части второй абзац второй;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в части третьей заменить слова «6 месяцев» на слова «12 месяцев».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«nаможенного союза» дополнить словами «за исключением ввоза для демонстрационных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аквариумистики».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Второй абзац части пятой 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редакции: «свиные туши, а также туши всеядных и плотоядных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исследованные на трихинеллез с отрицательным результатом;».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Предпоследнюю часть </w:t>
      </w:r>
      <w:r>
        <w:rPr>
          <w:rFonts w:ascii="Times New Roman"/>
          <w:b w:val="false"/>
          <w:i w:val="false"/>
          <w:color w:val="000000"/>
          <w:sz w:val="28"/>
        </w:rPr>
        <w:t>Главы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проведении ветеринарно-санитарной экспертизы рыбная продукция должна быть признана пригодной для употребления в пищу, и не должна содержать натуральные или синтетические эстрогенные, гормональные вещества, тиреостатические препараты, антибиотики, другие медикаментозные средства и пестициды.».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Главы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«Кожевенное, овчинно-меховое, мерлушковое, а также сборное пушно-меховое сырье должно быть исследовано на сибирскую язву».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Главе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вторую дополнить абзацами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«Медь           не более 80 мг/кг;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Цинк            не более 100 мг/кг».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Вторую часть </w:t>
      </w:r>
      <w:r>
        <w:rPr>
          <w:rFonts w:ascii="Times New Roman"/>
          <w:b w:val="false"/>
          <w:i w:val="false"/>
          <w:color w:val="000000"/>
          <w:sz w:val="28"/>
        </w:rPr>
        <w:t>Главы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производства кормов и кормовых добавок не используются белки жвачных животных.».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 второй части </w:t>
      </w:r>
      <w:r>
        <w:rPr>
          <w:rFonts w:ascii="Times New Roman"/>
          <w:b w:val="false"/>
          <w:i w:val="false"/>
          <w:color w:val="000000"/>
          <w:sz w:val="28"/>
        </w:rPr>
        <w:t>Главы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«3 месяца» заменить на слова «20 дней».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Шестой абзац третьей части </w:t>
      </w:r>
      <w:r>
        <w:rPr>
          <w:rFonts w:ascii="Times New Roman"/>
          <w:b w:val="false"/>
          <w:i w:val="false"/>
          <w:color w:val="000000"/>
          <w:sz w:val="28"/>
        </w:rPr>
        <w:t>Главы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сибирской язвы - в течение последних 20 дней на территории охотничьего угодья, хозяйства или иного места обитания;».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