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fec2" w14:textId="d9df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государств-членов Таможенного союза в части определения видов административных правонарушений и установления ответственности за нарушения в сфере технического регулирования, применения санитарных, ветеринарных и фитосанитарных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600.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государств-членов Таможенного союза в части определения видов административных правонарушений и установления ответственности за нарушения в сфере технического регулирования, применения санитарных, ветеринарных и фитосанитарных мер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на уровне глав правительств по принятию указанного Соглашения (прилагается).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Сторонам: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провести внутригосударственные процедуры, необходимые для принятия проекта Соглашения, указанного в пункте 1 настоящего Решения, с учетом результатов внутригосударственного согласования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предоставление главам правительств Сторон полномочий на подписание проекта Соглашения, указанного в пункте 1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гармонизации законодательств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Таможенного союза в части определения видов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правонарушений и установления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за нарушения в сфере технического регулирования, применения</w:t>
      </w:r>
      <w:r>
        <w:br/>
      </w:r>
      <w:r>
        <w:rPr>
          <w:rFonts w:ascii="Times New Roman"/>
          <w:b/>
          <w:i w:val="false"/>
          <w:color w:val="000000"/>
        </w:rPr>
        <w:t>санитарных, ветеринарных и фитосанитарных мер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Таможенного союза в рамках Евразийского экономического сообщества,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положениях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продукции, подлежащей обязательной оценке (подтверждению) соответствия, на таможенной территории Таможенного союза от 11 декабря 2009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от 11 декабря 2009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ветеринарно-санитарным мерам от 11 декабря 2009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о карантине растений от 11 декабря 2009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гармонизации законодательств Сторон, в части установления ответственности за нарушение требований правовой базы Таможенного союза (далее – законодательство Таможенного союза) в сфере технического регулирования, применения санитарных, ветеринарных 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виды административных правонарушений и устанавливает ответственность за нарушение требований законодательства Таможенного союза в сфере технического регулирования, применения санитарных, ветеринарных и фитосанитарных мер.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привлечении к административной ответственности физических, юридических и (или) должностных лиц, индивидуальных предпринимателей Стороны (далее – лицо) их уполномоченные органы обеспечивают достижение целей настоящего Соглашения.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привлечения лиц к административной ответственности определяется законодательствами Сторон с учетом особенностей, установленных настоящим Соглашением.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принимает меры по внесению изменений и (или) дополнений в национальное законодательство, предусматривающее административную ответственность за нарушения требований законодательства Таможенного союза в сфере технического регулирования, применения санитарных, ветеринарных и фитосанитарных мер, и приведению к единообразному определению видов правонарушений.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совершившее административное правонарушение на единой таможенной территории Таможенного союза в сфере технического регулирования, применения санитарных, ветеринарных и фитосанитарных мер, подлежит привлечению к административной ответственности в соответствии с законодательством той Стороны, на территории которой выявлено административное правонарушение.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Административный процесс (производство) ведется (осуществляется) в соответствии с законодательством Стороны, в которой лицо привлекается либо подлежит привлечению к административной ответственности.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привлеченное к административной ответственности, в отношении которого вступило в законную силу решение (постановление) по делу об административном правонарушении на территории одной из Сторон, не может привлекаться к административной ответственности за то же самое деяние другой Стороной.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признает и принимает меры к исполнению вступивших в силу решений (постановлений) по делам об административных правонарушениях, вынесенных на территории другой Стороны, на основании информации, представленной уполномоченными органами Сторон.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признания и исполнения решений (постановлений), указанных в пункте 2 настоящей статьи, определяется международным 3 договором и законодательством Стороны, на территории которой осуществляется исполнение.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применяются к решениям (постановлениям), вынесенным после вступления в силу настоящего Соглашения.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ответственность за нарушение требований законодательства Таможенного союза в сфере технического регулирования устанавливается за следующие виды административных правонарушений: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изготовителем, уполномоченным изготовителем лицом, поставщиком, импортером, продавцом продукции требований технических регламентов Таможенного союза (ЕврАзЭС), а до их вступления в силу – технических регламентов Сторон, или иных обязательных требований к продукции, установленных в соответствии с законодательством Таможенного союза и законодательствами Сторон;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в обращение (реализацию) изготовителем, уполномоченным изготовителем лицом, поставщиком, импортером, продавцом продукции, несоответствующей требованиям технических регламентов Таможенного союза (ЕврАзЭС), а до их вступления в силу – технических регламентов Сторон, или иных обязательных требований к продукции;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и (или) реализация продукции, подлежащей обязательной оценке (подтверждению) соответствия, без наличия сертификата соответствия или декларации о соответствии либо с использованием сертификатов соответствия или декларации о соответствии с истекшим сроком действия или действие которых приостановлено;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правил проведения работ по оценке (подтверждению) соответствия и аккредитации;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необоснованное принятие или регистрация декларации о соответствии;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или несоответствие маркировки на продукцию установленным требованиям технических регламентов Таможенного союза (ЕврАзЭС), а до их вступления в силу – технических регламентов Сторон) или иных нормативных правовых актов, нормативных документов Таможенного союза и законодательств Сторон;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маркировка продукции единым знаком обращения на рынке Таможенного союза (ЕврАзЭС) или национальным знаком соответствия, соответствие которой обязательным требованиям не подтверждено (необоснованное применение знака обращения на рынке или знаком соответствия);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недостоверных результатов исследований (испытаний) и измерений.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ответственность за нарушение требований законодательства Таможенного союза в сфере применения санитарных мер устанавливается за следующие виды административных правонарушений: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изготовление, ввоз или реализация подконтрольных товаров, не соответствующих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 мая 2010 года № 299.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 или реализация подконтрольных товаров, включенных в раздел II Единого перечня товаров, подлежащих санитарно-эпидемиологическому надзору (контролю) на таможенной границе и таможенной территории Таможенного союза, утвержденного Решением Комиссии Таможенного союза от 28 мая 2010 года № 299, без документов, подтверждающих их безопасность.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ответственность за нарушение требований законодательства Таможенного союза в сфере применения ветеринарно-санитарных мер устанавливается за следующие виды административных правонарушений: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производство, переработка, перемещение, хранение, ввоз на единую таможенную территорию Таможенного союза подконтрольных товаров, не соответствующих Единым ветеринарным (ветеринарно-санитарным) требованиям, предъявляемым к товарам, подлежащим ветеринарному контролю (надзору), утвержденным Решением Комиссии Таможенного союза от 18 июня 2010 года № 317;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 на единую таможенную территорию Таможенного союза и перемещение на единой таможенной территории Таможенного союза подконтрольных товаров с нарушением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года № 317;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установленных Соглашением Таможенного союза по ветеринарно-санитарным мерам от 11 декабря 2009 года, 5 при перемещении подконтрольных товаров через таможенную границу Таможенного союза и на единой таможенной территории Таможенного союза.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Административная ответственность за нарушение требований законодательства Таможенного союза и законодательств Сторон в сфере применения фитосанитарных мер устанавливается за следующие виды административных правонарушений: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фитосанитарных требований и ограничений при перемещении подкарантинной продукции через таможенную границу Таможенного союза;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фитосанитарных требований при перевозке, хранении, использовании и реализации подкарантинной продукции и использования подкарантинных объектов, а также к процессам переработки, производства, если они предусмотрены законодательствами Сторон;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ограничений осуществления деятельности, связанной с производством, хранением, перемещением, реализацией подкарантинной продукции при введении карантинного фитосанитарного режима на территории любой из Сторон;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несоблюдение количественных и видовых показателей ввозимой, вывозимой или реализуемой подкарантинной продукции сведениям, указанным в фитосанитарных и (или) сопроводительных документах;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ввоз, вывоз и реализация подкарантинной продукции, зараженной карантинными объектами (карантинными вредными организмами);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непроведение обеззараживания (уничтожения) подкарантинных объектов, зараженных карантинными объектами (карантинными вредными организмами);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непредставление должностному лицу уполномоченного органа Стороны, осуществляющего карантинный фитосанитарный контроль (надзор), подкарантинной продукции для проведения карантинного фитосанитарного контроля (надзора);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непредставление уполномоченному органу Стороны, осуществляющему карантинный фитосанитарный контроль (надзор), сведений о наличии подкарантинной продукции и карантинных объектов (карантинных вредных организмов);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неисполнение либо ненадлежащее исполнение предписаний должностных лиц уполномоченных органов Сторон, осуществляющих 6 карантинный фитосанитарный контроль (надзор), о проведении обязательных мероприятий по карантину растений;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сокрытие фактов, создающих угрозу карантинной фитосанитарной безопасности, несвоевременное представление либо представление заведомо ложной информации о введении (отмене) карантинного фитосанитарного режима.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административных правонарушений и меры, которые могут быть применены за нарушение требований законодательства Таможенного союза в сфере технического регулирования, применения санитарных, ветеринарных и фитосанитарных мер, приведены в Приложениях № 1 - № 4, являющихся неотъемлемой частью настоящего Соглашения.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устанавливает в национальном законодательстве ответственность за нарушение требований законодательства Таможенного союза в сфере технического регулирования, применения санитарных, ветеринарных и фитосанитарных мер, при этом минимальный размер штрафа должен составлять не менее: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Республике Казахстан: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14 500 (четырнадцать тысяч пятьсот) тенге – для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29 000 (двадцать девять тысяч) тенге – на должностных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72 500 (семьдесят две тысячи пятьсот) тенге – на юридических лиц.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Республике Беларусь: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(триста тысяч) рублей – для физических лиц; 600 000 (шестьсот тысяч) рублей – на должностных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1 500 000 (один миллион пятьсот тысяч) рублей – на юридических лиц.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Российской Федерации: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(три тысячи) рублей – для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6 000 (шесть тысяч) рублей – на должностных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(пятнадцать тысяч) рублей – на юридических лиц.</w:t>
      </w:r>
    </w:p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Сторонами, связанные с толкованием и (или) применением положений настоящего Соглашения, разрешаются путем консультаций или переговоров заинтересованных Сторон. В случае недостижения согласия в течение шести месяцев с даты начала таких 7 консультаций или переговоров спор передается по инициативе любой из Сторон спора в Суд Евразийского экономического сообщества.</w:t>
      </w:r>
    </w:p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(или) дополнения, которые оформляются отдельными протоколами, являющимися неотъемлемой частью настоящего Соглашения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Соглашения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любого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члена Евразийского экономического сообщества в соответствии с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присоединяющееся государство устанавливает минимальные размеры штрафа за нарушение требований законодательства Таможенного союза в сфере технического регулирования, применения санитарных, ветеринарных и фитосанитарных мер соразмерно минимальным размерам штрафа, установленным частью 2 статьи 9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"__" 2011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         За Республику     За Российскую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Беларусь              Казахстан         Федерацию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административных правонарушений и меры, которые</w:t>
      </w:r>
      <w:r>
        <w:br/>
      </w:r>
      <w:r>
        <w:rPr>
          <w:rFonts w:ascii="Times New Roman"/>
          <w:b/>
          <w:i w:val="false"/>
          <w:color w:val="000000"/>
        </w:rPr>
        <w:t>могут быть применены за нарушение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сфере технического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5382"/>
        <w:gridCol w:w="4506"/>
      </w:tblGrid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мер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изготовителем,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изготовителем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поставщиком, импортером, продавцом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требований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(ЕврАзЭС), а до их вступления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-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 или иных обязательных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законодательствами Сторон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 обращение (реализацию)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несоответствующей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(ЕврАзЭС), а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вступления в силу -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Сторон, или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требований к продукции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Изъятие из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уничтожение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угрозе причинения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имуществу,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Наложение штрафа.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 (или) реализация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обязательной оценке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(подтверждению) соответствия,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сертификата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декларации о соответствии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сертификатов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или декларации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истекшим сроком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или действие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правил проведения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оценке (подтверждению)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 и аккредитации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либо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Необоснованное принятие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либо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несоответствие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 на продукцию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регламентов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(ЕврАзЭС), а до их вступления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силу - технических регламентов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Сторон, или иных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актов,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 Сторон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продукции единым знаком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на рынке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(ЕврАзЭС) или национальным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знаком соответствия,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обязательным требованиям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подтверждено (необоснованное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знака обращения на рынке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знаком соответствия)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штрафа.</w:t>
            </w:r>
          </w:p>
        </w:tc>
      </w:tr>
      <w:tr>
        <w:trPr>
          <w:trHeight w:val="30" w:hRule="atLeast"/>
        </w:trPr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(испытаний) и измерений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либо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административных правонарушений и меры, которые</w:t>
      </w:r>
      <w:r>
        <w:br/>
      </w:r>
      <w:r>
        <w:rPr>
          <w:rFonts w:ascii="Times New Roman"/>
          <w:b/>
          <w:i w:val="false"/>
          <w:color w:val="000000"/>
        </w:rPr>
        <w:t>могут быть применены за нарушение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сфере применения санитарных мер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4886"/>
        <w:gridCol w:w="4693"/>
      </w:tblGrid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мер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Изготовление, ввоз или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товаров,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 требованиям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подлежащим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Запрещение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продукции.</w:t>
            </w:r>
          </w:p>
        </w:tc>
      </w:tr>
      <w:tr>
        <w:trPr>
          <w:trHeight w:val="3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или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товаров,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включенных в раздел II Единого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товаров,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надзору (контролю) на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и единой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Таможенного союза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подтверждающих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Запрещение ввоза,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административных правонарушений и меры, которые</w:t>
      </w:r>
      <w:r>
        <w:br/>
      </w:r>
      <w:r>
        <w:rPr>
          <w:rFonts w:ascii="Times New Roman"/>
          <w:b/>
          <w:i w:val="false"/>
          <w:color w:val="000000"/>
        </w:rPr>
        <w:t>могут быть применены за нарушение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сфере применения ветеринарно-санитарных мер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4033"/>
        <w:gridCol w:w="5457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Применяемые меры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переработка,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перемещение, хранение, ввоз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 таможенную территорию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подконтрольных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не соответствующих Единым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ветеринарным (ветеринарно-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санитарным) требованиям,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к товарам,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подлежащим ветеринарному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(надзору)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Изъятие из обращения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уничтожение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угрозе причинения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Запрет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либо,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Возврат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товара.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единую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Таможенного союза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между сторонами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подконтрольных товаров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 Положения о едином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и на таможенной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Изъятие из обращения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уничтожение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угрозе причинения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Запрет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либо,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Возврат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товара.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 Соглашением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ветеринарно-санитарным мерам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подконтрольных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таможенную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и на единой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территории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Изъятие из обращения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уничтожение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угрозе причинения вреда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Запрет ввоза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Наложение штрафа.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Лишение права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либо,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такового.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Возврат товара.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товара.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административных правонарушений и меры, которые</w:t>
      </w:r>
      <w:r>
        <w:br/>
      </w:r>
      <w:r>
        <w:rPr>
          <w:rFonts w:ascii="Times New Roman"/>
          <w:b/>
          <w:i w:val="false"/>
          <w:color w:val="000000"/>
        </w:rPr>
        <w:t>могут быть применены за нарушение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в сфере применения фитосанитарных мер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3755"/>
        <w:gridCol w:w="5656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мер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 ограничений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перемещении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через таможенную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Таможенного союза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на ввоз или вывоз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обнаружения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(карантинных вредных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при перевозке,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хранении, использовании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подкарантинных объектов,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к процессам переработки,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если это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законодательствами Сторон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производством,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хранением, перемещением,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при введении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карантинного фитосанитарного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 на территории любой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количественных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видовых показателей ввозимой,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вывозимой или реализуемой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сведениям, указанным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сопроводительных документах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на ввоз, вывоз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Ввоз, вывоз и реализация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зараженной карантинными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объектами (карантинными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организмами)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на ввоз, вывоз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Изъятие и 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 или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Непроведение обеззараживания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(уничтожения) подкарантинных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зараженных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(карантинными вредными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на ввоз, вывоз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Изъятие и уничтожение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обеззараживания или отказа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должностному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Стороны, осуществляющего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фито-санитарный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(надзор)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подкарантинной продукции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(надзора)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на ввоз, вывоз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уполномоченному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Стороны, осуществляющему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(надзор) сведений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подкарантинной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 карантинных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(карантинных вредных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организмов)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либо ненадлежащее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предписаний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 уполномоченных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Сторон,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фитосанитарный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(надзор) 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карантину растений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штрафа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Сокрытие фактов, создающих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угрозу карантинной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фитосанитарной 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представление заведомо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ложной информации о введении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(отмене) карантинного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фитосанитарного режима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штрафа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2011 г. № 600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68600" cy="181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МЕЖГОСУДАРСТВЕННЫЙ СОВЕТ ВЫСШИЙ ОРГАН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мая 2011 г.                       №                     г. Минск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Соглашения государств-членов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части определения видов административных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и установления ответственности за нарушения в сфере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регулирования, применения санитарных, ветеринарных</w:t>
      </w:r>
      <w:r>
        <w:br/>
      </w:r>
      <w:r>
        <w:rPr>
          <w:rFonts w:ascii="Times New Roman"/>
          <w:b/>
          <w:i w:val="false"/>
          <w:color w:val="000000"/>
        </w:rPr>
        <w:t>и фитосанитарных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Соглашение государств-членов Таможенного союза в части определения видов административных правонарушений и установления ответственности за нарушения в сфере технического регулирования, применения санитарных, ветеринарных и фитосанитарных мер (прилагается).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– членов Таможенного союза обеспечить проведение внутригосударственных процедур, необходимых для вступления в силу международного договора, указанного в пункте 1 настоящего Решения.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