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d2e8" w14:textId="931d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встречи глав правительств государств – 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583.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встречи глав правительств государств – членов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представить до 10 марта 2011 г. проекты документов.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Межгоссовета ЕврАзЭС (Высшего органа Таможенного союза)</w:t>
      </w:r>
      <w:r>
        <w:br/>
      </w:r>
      <w:r>
        <w:rPr>
          <w:rFonts w:ascii="Times New Roman"/>
          <w:b/>
          <w:i w:val="false"/>
          <w:color w:val="000000"/>
        </w:rPr>
        <w:t>на уровне глав правительств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2011 г.                                           г. Минск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51"/>
        <w:gridCol w:w="10349"/>
      </w:tblGrid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подходах к кодификации законодательства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 пространства, включая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Декларации о формировании Единого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Республики Беларусь, 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от 09.12.2010г.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(Отв. – Российская Федерация).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наднациональных органов,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об организации деятельности Комиссии 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(Отв. – Республика Казахстан).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формировании и организации деятельности Суда ЕврАзЭС.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Отв. – Республика Беларусь).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переноса контроля с российско-казахстанской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внешнюю границу 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(Отв. – Республика Казахстан).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формировании Единого экономического пространства (ЕЭП).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Генерального секретаря ЕврАзЭС Т.А. Мансуров).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подходах к единой миграционной (визовой) политике (правилах)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третьих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(Отв. – Российская Федерация).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присоединении государств – членов Таможенного союза к ВТО.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(Отв. – Российская Федерация).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переносе транспортного контроля с белорусско-российской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 внешний контур 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(Отв.- Республика Беларусь. Включается до согласования 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на заседании КТС 14 марта 2011г.).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