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3642" w14:textId="9c9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Технических условиях предоставления данных, содержащихся в реестрах таможенных представителей, таможенных перевозчиков, владельцев складов временного хранения, владельцев таможенных складов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578. Утратило силу решением Комиссии таможенного союза от 11 декабря 2012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11.12.2012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Технические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данных, содержащихся в реестрах таможенных представителей, таможенных перевозчиков, владельцев складов временного хранения, владельцев таможенных складов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4674"/>
        <w:gridCol w:w="4494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г. № 578  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Технических условий предоставления данных, содержащихся в</w:t>
      </w:r>
      <w:r>
        <w:br/>
      </w:r>
      <w:r>
        <w:rPr>
          <w:rFonts w:ascii="Times New Roman"/>
          <w:b/>
          <w:i w:val="false"/>
          <w:color w:val="000000"/>
        </w:rPr>
        <w:t>
реестрах таможенных представителей, таможенных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
владельцев складов временного хранения, владельцев таможенных</w:t>
      </w:r>
      <w:r>
        <w:br/>
      </w:r>
      <w:r>
        <w:rPr>
          <w:rFonts w:ascii="Times New Roman"/>
          <w:b/>
          <w:i w:val="false"/>
          <w:color w:val="000000"/>
        </w:rPr>
        <w:t>
складов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 данных Реестра таможенных представителей, Реестра таможенных перевозчиков, Реестра владельцев складов временного хранения, Реестра владельцев таможенных складов (далее – Реестры)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N 261 должны направляться в Секретариат Комиссии Таможенного союза Таможенными органами государств – членов Таможенного союза не позднее одной рабочей недели с даты внесения в него изменений, на электронный адрес dta@tsouz.ru.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Файлы данных Реестров должны направляться в формате DBF (dBase IV) и их наименования соответствовать следующей структуре маски файла nXXYYYYMMDDhhmmss.dbf,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признак типа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 – Реестр таможенных представителей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 – Реестр таможенных перевозчиков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 – Реестр владельцев складов временного хранения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Реестр владельцев таможенных складов (См.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– буквенный код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– четыре цифры года,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DD – цифровое обозначение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hh – цифровое обозначение часа,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минуты,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ss – цифровое обозначение секунды, в котором был сформирован файл данных.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содержащихся в реестрах таможенных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представителей, таможенных перевозчиков,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складов временного хранения,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таможенных складов       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таможенных представителей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233"/>
        <w:gridCol w:w="2515"/>
        <w:gridCol w:w="2248"/>
        <w:gridCol w:w="2335"/>
        <w:gridCol w:w="2357"/>
        <w:gridCol w:w="178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представителей*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ИНН/УНП/РНН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ST**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82"/>
        <w:gridCol w:w="1902"/>
        <w:gridCol w:w="1795"/>
        <w:gridCol w:w="2118"/>
        <w:gridCol w:w="2610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ТС*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операций*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транспорта*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деятельности*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графа заполняется в порядке, установленном законодательством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двухсимвольный код страны ALPHA2 (BY – Беларусь, KZ – Казахстан, RU – Россия).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содержащихся в реестрах таможенных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представителей, таможенных перевозчиков,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складов временного хранения,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таможенных складов            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таможенных перевозчиков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60"/>
        <w:gridCol w:w="2872"/>
        <w:gridCol w:w="2431"/>
        <w:gridCol w:w="2721"/>
        <w:gridCol w:w="296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перевозчиков*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ST**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196"/>
        <w:gridCol w:w="1920"/>
        <w:gridCol w:w="2371"/>
        <w:gridCol w:w="2266"/>
        <w:gridCol w:w="2286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ИНН/УНП/РНН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 реестр*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налогов*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налогов*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*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NLITR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NNUMB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NDATE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графа заполняется в порядке, установленном законодательством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двухсимвольный код страны ALPHA2 (BY – Беларусь, KZ – Казахстан, RU – Россия).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содержащихся в реестрах таможенных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представителей, таможенных перевозчиков,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складов временного хранения,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таможенных складов       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владельцев складов временного хранения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18"/>
        <w:gridCol w:w="2991"/>
        <w:gridCol w:w="3427"/>
        <w:gridCol w:w="2388"/>
        <w:gridCol w:w="2405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хранения*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владельцев СВХ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СВХ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СВХ,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СВХ,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ST**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2516"/>
        <w:gridCol w:w="1871"/>
        <w:gridCol w:w="2131"/>
        <w:gridCol w:w="2043"/>
        <w:gridCol w:w="2336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ИНН/УНП/РНН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СВХ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СВХ*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СВХ*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СВХ *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AREAS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VIDTRANS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графа заполняется в порядке, установленном законодательством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двухсимвольный код страны ALPHA2 (BY – Беларусь, KZ – Казахстан, RU – Россия).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содержащихся в реестрах таможенных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представителей, таможенных перевозчиков,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складов временного хранения,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владельцев таможенных складов  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владельцев таможенных складов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169"/>
        <w:gridCol w:w="2456"/>
        <w:gridCol w:w="2452"/>
        <w:gridCol w:w="2615"/>
        <w:gridCol w:w="3568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 *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ТС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СВХ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ТС,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ТС,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ST**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2318"/>
        <w:gridCol w:w="1268"/>
        <w:gridCol w:w="2004"/>
        <w:gridCol w:w="2651"/>
        <w:gridCol w:w="2909"/>
      </w:tblGrid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ИНН/УНП/РНН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ТС*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 ТС*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*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AREAS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VIDTRANS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графа заполняется в порядке, установленном законодательством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двухсимвольный код страны ALPHA2 (BY – Беларусь, KZ – Казахстан, RU – Россия).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