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3642" w14:textId="9c93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Технических условиях предоставления данных, содержащихся в реестрах таможенных представителей, таможенных перевозчиков, владельцев складов временного хранения, владельцев таможенных складов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 марта 2011 года № 578. Утратило силу решением Комиссии таможенного союза от 11 декабря 2012 года № 271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Комиссии таможенного союза от 11.12.2012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 </w:t>
      </w:r>
      <w:r>
        <w:rPr>
          <w:rFonts w:ascii="Times New Roman"/>
          <w:b w:val="false"/>
          <w:i w:val="false"/>
          <w:color w:val="000000"/>
          <w:sz w:val="28"/>
        </w:rPr>
        <w:t>Технические 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данных, содержащихся в реестрах таможенных представителей, таможенных перевозчиков, владельцев складов временного хранения, владельцев таможенных складов (прилагаются).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2"/>
        <w:gridCol w:w="4674"/>
        <w:gridCol w:w="4494"/>
      </w:tblGrid>
      <w:tr>
        <w:trPr>
          <w:trHeight w:val="30" w:hRule="atLeast"/>
        </w:trPr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С.Румас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У.Шукеев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И.Шувалов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марта 2011 г. № 578         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Технических условий предоставления данных, содержащихся в</w:t>
      </w:r>
      <w:r>
        <w:br/>
      </w:r>
      <w:r>
        <w:rPr>
          <w:rFonts w:ascii="Times New Roman"/>
          <w:b/>
          <w:i w:val="false"/>
          <w:color w:val="000000"/>
        </w:rPr>
        <w:t>
реестрах таможенных представителей, таможенных перевозчиков,</w:t>
      </w:r>
      <w:r>
        <w:br/>
      </w:r>
      <w:r>
        <w:rPr>
          <w:rFonts w:ascii="Times New Roman"/>
          <w:b/>
          <w:i w:val="false"/>
          <w:color w:val="000000"/>
        </w:rPr>
        <w:t>
владельцев складов временного хранения, владельцев таможенных</w:t>
      </w:r>
      <w:r>
        <w:br/>
      </w:r>
      <w:r>
        <w:rPr>
          <w:rFonts w:ascii="Times New Roman"/>
          <w:b/>
          <w:i w:val="false"/>
          <w:color w:val="000000"/>
        </w:rPr>
        <w:t>
складов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Файлы данных Реестра таможенных представителей, Реестра таможенных перевозчиков, Реестра владельцев складов временного хранения, Реестра владельцев таможенных складов (далее – Реестры) согласно 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года N 261 должны направляться в Секретариат Комиссии Таможенного союза Таможенными органами государств – членов Таможенного союза не позднее одной рабочей недели с даты внесения в него изменений, на электронный адрес dta@tsouz.ru.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Файлы данных Реестров должны направляться в формате DBF (dBase IV) и их наименования соответствовать следующей структуре маски файла nXXYYYYMMDDhhmmss.dbf,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n – признак типа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r – Реестр таможенных представителей (См.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t – Реестр таможенных перевозчиков (См.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w – Реестр владельцев складов временного хранения (См.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s – Реестр владельцев таможенных складов (См.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XX – буквенный код государства – члена Таможенного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BY – Республика Беларусь,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KZ – Республика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RU – Российская Федерация;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YYYY – четыре цифры года, в котором был сформирован файл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MM – цифровое обозначение месяца, в котором был сформирован файл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DD – цифровое обозначение месяца, в котором был сформирован файл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hh – цифровое обозначение часа, в котором был сформирован файл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mm – цифровое обозначение минуты, в котором был сформирован файл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ss – цифровое обозначение секунды, в котором был сформирован файл данных.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Технических условий предоставления данных,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содержащихся в реестрах таможенных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представителей, таможенных перевозчиков,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владельцев складов временного хранения,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владельцев таможенных складов             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общего реестра таможенных представителей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1233"/>
        <w:gridCol w:w="2515"/>
        <w:gridCol w:w="2248"/>
        <w:gridCol w:w="2335"/>
        <w:gridCol w:w="2357"/>
        <w:gridCol w:w="1781"/>
      </w:tblGrid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представителей*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представителей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 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телефон, сайт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ИНН/УНП/РНН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ST**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NLIC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DBEGIN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OWNER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ADROWN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INN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2082"/>
        <w:gridCol w:w="1902"/>
        <w:gridCol w:w="1795"/>
        <w:gridCol w:w="2118"/>
        <w:gridCol w:w="2610"/>
      </w:tblGrid>
      <w:tr>
        <w:trPr>
          <w:trHeight w:val="30" w:hRule="atLeast"/>
        </w:trPr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связи*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ТН ВЭД ТС*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операций*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транспорта*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региону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деятельности*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информация*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ADRS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CONT01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CONT02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CONT03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CONT04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DOP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*- графа заполняется в порядке, установленном законодательством государства – члена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- двухсимвольный код страны ALPHA2 (BY – Беларусь, KZ – Казахстан, RU – Россия).</w:t>
      </w:r>
    </w:p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Технических условий предоставления данных,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содержащихся в реестрах таможенных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представителей, таможенных перевозчиков,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владельцев складов временного хранения,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владельцев таможенных складов             </w:t>
      </w:r>
    </w:p>
    <w:bookmarkEnd w:id="7"/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общего реестра таможенных перевозчиков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60"/>
        <w:gridCol w:w="2872"/>
        <w:gridCol w:w="2431"/>
        <w:gridCol w:w="2721"/>
        <w:gridCol w:w="2960"/>
      </w:tblGrid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перевозчиков*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 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телефон, сайт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ST**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NLIC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DBEGIN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OWNER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ADROWN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1"/>
        <w:gridCol w:w="2196"/>
        <w:gridCol w:w="1920"/>
        <w:gridCol w:w="2371"/>
        <w:gridCol w:w="2266"/>
        <w:gridCol w:w="2286"/>
      </w:tblGrid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ИНН/УНП/РНН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в реестр*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налогов*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налогов*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перевозчиков *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информация*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INN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NLITR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NNUMB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NDATE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KODT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DOP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*- графа заполняется в порядке, установленном законодательством государства – члена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- двухсимвольный код страны ALPHA2 (BY – Беларусь, KZ – Казахстан, RU – Россия).</w:t>
      </w:r>
    </w:p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Технических условий предоставления данных,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содержащихся в реестрах таможенных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представителей, таможенных перевозчиков,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владельцев складов временного хранения,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владельцев таможенных складов             </w:t>
      </w:r>
    </w:p>
    <w:bookmarkEnd w:id="9"/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общего реестра владельцев складов временного хранения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1118"/>
        <w:gridCol w:w="2991"/>
        <w:gridCol w:w="3427"/>
        <w:gridCol w:w="2388"/>
        <w:gridCol w:w="2405"/>
      </w:tblGrid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складов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хранения*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владельцев СВХ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владельца СВХ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владельца СВХ,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владельца СВХ,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почты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ST**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NLIC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DBEGIN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OWNER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ADROWN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3"/>
        <w:gridCol w:w="2516"/>
        <w:gridCol w:w="1871"/>
        <w:gridCol w:w="2131"/>
        <w:gridCol w:w="2043"/>
        <w:gridCol w:w="2336"/>
      </w:tblGrid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ИНН/УНП/РНН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СВХ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СВХ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СВХ*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СВХ*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СВХ *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INN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ADRS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AREAS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VIDTRANS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KODT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DOP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*- графа заполняется в порядке, установленном законодательством государства – члена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- двухсимвольный код страны ALPHA2 (BY – Беларусь, KZ – Казахстан, RU – Россия).</w:t>
      </w:r>
    </w:p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Технических условий предоставления данных,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содержащихся в реестрах таможенных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представителей, таможенных перевозчиков,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владельцев складов временного хранения,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владельцев таможенных складов             </w:t>
      </w:r>
    </w:p>
    <w:bookmarkEnd w:id="11"/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общего реестра владельцев таможенных складов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169"/>
        <w:gridCol w:w="2456"/>
        <w:gridCol w:w="2452"/>
        <w:gridCol w:w="2615"/>
        <w:gridCol w:w="3568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складов *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владельцев ТС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владельца СВХ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владельца ТС,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владельца ТС, сайт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Интернете,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почты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ST**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NLIC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DBEGIN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OWNER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ADROWN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0"/>
        <w:gridCol w:w="2318"/>
        <w:gridCol w:w="1268"/>
        <w:gridCol w:w="2004"/>
        <w:gridCol w:w="2651"/>
        <w:gridCol w:w="2909"/>
      </w:tblGrid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ИНН/УНП/РНН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площадки ТС*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Таможенный 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 ТС*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*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INN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ADRS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AREAS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VIDTRANS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KODT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DOP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*- графа заполняется в порядке, установленном законодательством государства – члена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- двухсимвольный код страны ALPHA2 (BY – Беларусь, KZ – Казахстан, RU – Россия).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